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A9" w:rsidRPr="00D74742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4742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DELIBERAÇÃO DE COMISSÃO</w:t>
      </w:r>
    </w:p>
    <w:p w:rsidR="00DB11A9" w:rsidRPr="00D74742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A556E8" w:rsidRPr="00D747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D747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D74742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D74742" w:rsidRDefault="00A556E8" w:rsidP="00B93B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E8" w:rsidRPr="00D747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D747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D74742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8F7D4D" w:rsidRDefault="00CB14F8" w:rsidP="00501850">
            <w:pPr>
              <w:spacing w:line="276" w:lineRule="auto"/>
              <w:ind w:left="1843" w:hanging="1843"/>
              <w:rPr>
                <w:rFonts w:ascii="Arial" w:hAnsi="Arial" w:cs="Arial"/>
              </w:rPr>
            </w:pPr>
            <w:r w:rsidRPr="008F7D4D">
              <w:rPr>
                <w:rFonts w:ascii="Arial" w:hAnsi="Arial" w:cs="Arial"/>
              </w:rPr>
              <w:t>CONSELHO DE ARQUITETURA E URBANISMO</w:t>
            </w:r>
            <w:r w:rsidR="00501850" w:rsidRPr="008F7D4D">
              <w:rPr>
                <w:rFonts w:ascii="Arial" w:hAnsi="Arial" w:cs="Arial"/>
              </w:rPr>
              <w:t xml:space="preserve"> - CAU/PR.</w:t>
            </w:r>
          </w:p>
        </w:tc>
      </w:tr>
      <w:tr w:rsidR="00A556E8" w:rsidRPr="00D747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D747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D74742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295A64" w:rsidRDefault="00A34C3C" w:rsidP="00A34C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Publicação do </w:t>
            </w:r>
            <w:r w:rsidR="00295A64" w:rsidRPr="00295A64">
              <w:rPr>
                <w:rFonts w:ascii="Arial" w:hAnsi="Arial" w:cs="Arial"/>
              </w:rPr>
              <w:t>Edital de Chama</w:t>
            </w:r>
            <w:r>
              <w:rPr>
                <w:rFonts w:ascii="Arial" w:hAnsi="Arial" w:cs="Arial"/>
              </w:rPr>
              <w:t xml:space="preserve">mento </w:t>
            </w:r>
            <w:r w:rsidR="00295A64" w:rsidRPr="00295A64">
              <w:rPr>
                <w:rFonts w:ascii="Arial" w:hAnsi="Arial" w:cs="Arial"/>
              </w:rPr>
              <w:t>Públic</w:t>
            </w:r>
            <w:r>
              <w:rPr>
                <w:rFonts w:ascii="Arial" w:hAnsi="Arial" w:cs="Arial"/>
              </w:rPr>
              <w:t>o n° 01/2020</w:t>
            </w:r>
            <w:r w:rsidR="00295A64" w:rsidRPr="00295A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="00295A64" w:rsidRPr="00295A64">
              <w:rPr>
                <w:rFonts w:ascii="Arial" w:hAnsi="Arial" w:cs="Arial"/>
              </w:rPr>
              <w:t>Assistência Técnica Habitacional de Interesse Social</w:t>
            </w:r>
            <w:r>
              <w:rPr>
                <w:rFonts w:ascii="Arial" w:hAnsi="Arial" w:cs="Arial"/>
              </w:rPr>
              <w:t>.</w:t>
            </w:r>
            <w:r w:rsidR="00AA4F1A">
              <w:rPr>
                <w:rFonts w:ascii="Arial" w:hAnsi="Arial" w:cs="Arial"/>
              </w:rPr>
              <w:t xml:space="preserve"> ATHIS</w:t>
            </w:r>
          </w:p>
        </w:tc>
      </w:tr>
    </w:tbl>
    <w:p w:rsidR="00A556E8" w:rsidRPr="00D74742" w:rsidRDefault="00A556E8" w:rsidP="00A556E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 w:cs="Times New Roman"/>
          <w:b/>
          <w:smallCaps/>
          <w:lang w:eastAsia="pt-BR"/>
        </w:rPr>
      </w:pPr>
      <w:r w:rsidRPr="00D74742">
        <w:rPr>
          <w:rFonts w:ascii="Times New Roman" w:eastAsia="Times New Roman" w:hAnsi="Times New Roman" w:cs="Times New Roman"/>
          <w:b/>
          <w:smallCaps/>
          <w:lang w:eastAsia="pt-BR"/>
        </w:rPr>
        <w:t xml:space="preserve">DELIBERAÇÃO Nº </w:t>
      </w:r>
      <w:r w:rsidR="00494B68">
        <w:rPr>
          <w:rFonts w:ascii="Times New Roman" w:eastAsia="Times New Roman" w:hAnsi="Times New Roman" w:cs="Times New Roman"/>
          <w:b/>
          <w:smallCaps/>
          <w:lang w:eastAsia="pt-BR"/>
        </w:rPr>
        <w:t>0</w:t>
      </w:r>
      <w:r w:rsidR="008F7D4D">
        <w:rPr>
          <w:rFonts w:ascii="Times New Roman" w:eastAsia="Times New Roman" w:hAnsi="Times New Roman" w:cs="Times New Roman"/>
          <w:b/>
          <w:smallCaps/>
          <w:lang w:eastAsia="pt-BR"/>
        </w:rPr>
        <w:t>5</w:t>
      </w:r>
      <w:r w:rsidRPr="00D74742">
        <w:rPr>
          <w:rFonts w:ascii="Times New Roman" w:eastAsia="Times New Roman" w:hAnsi="Times New Roman" w:cs="Times New Roman"/>
          <w:b/>
          <w:smallCaps/>
          <w:lang w:eastAsia="pt-BR"/>
        </w:rPr>
        <w:t>/20</w:t>
      </w:r>
      <w:r w:rsidR="003F4F60" w:rsidRPr="00D74742">
        <w:rPr>
          <w:rFonts w:ascii="Times New Roman" w:eastAsia="Times New Roman" w:hAnsi="Times New Roman" w:cs="Times New Roman"/>
          <w:b/>
          <w:smallCaps/>
          <w:lang w:eastAsia="pt-BR"/>
        </w:rPr>
        <w:t>20</w:t>
      </w:r>
      <w:r w:rsidRPr="00D74742">
        <w:rPr>
          <w:rFonts w:ascii="Times New Roman" w:eastAsia="Times New Roman" w:hAnsi="Times New Roman" w:cs="Times New Roman"/>
          <w:b/>
          <w:smallCaps/>
          <w:lang w:eastAsia="pt-BR"/>
        </w:rPr>
        <w:t xml:space="preserve"> – CE-CAU/</w:t>
      </w:r>
      <w:r w:rsidR="003F4F60" w:rsidRPr="00D74742">
        <w:rPr>
          <w:rFonts w:ascii="Times New Roman" w:eastAsia="Times New Roman" w:hAnsi="Times New Roman" w:cs="Times New Roman"/>
          <w:b/>
          <w:smallCaps/>
          <w:lang w:eastAsia="pt-BR"/>
        </w:rPr>
        <w:t>PR</w:t>
      </w:r>
    </w:p>
    <w:p w:rsidR="0078148B" w:rsidRPr="00295A64" w:rsidRDefault="0078148B" w:rsidP="00295A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295A64">
        <w:rPr>
          <w:rFonts w:ascii="Arial" w:hAnsi="Arial" w:cs="Arial"/>
        </w:rPr>
        <w:t xml:space="preserve">A COMISSÃO </w:t>
      </w:r>
      <w:r w:rsidR="00CB14F8" w:rsidRPr="00295A64">
        <w:rPr>
          <w:rFonts w:ascii="Arial" w:hAnsi="Arial" w:cs="Arial"/>
        </w:rPr>
        <w:t>ELEITORAL DO CONSELHO DE ARQUITETURA E URBANISMO DO PARANÁ</w:t>
      </w:r>
      <w:r w:rsidR="00271978" w:rsidRPr="00295A64">
        <w:rPr>
          <w:rFonts w:ascii="Arial" w:hAnsi="Arial" w:cs="Arial"/>
        </w:rPr>
        <w:t xml:space="preserve"> - </w:t>
      </w:r>
      <w:r w:rsidR="00CB14F8" w:rsidRPr="00295A64">
        <w:rPr>
          <w:rFonts w:ascii="Arial" w:hAnsi="Arial" w:cs="Arial"/>
        </w:rPr>
        <w:t>CE-CAU/PR</w:t>
      </w:r>
      <w:r w:rsidRPr="00295A64">
        <w:rPr>
          <w:rFonts w:ascii="Arial" w:hAnsi="Arial" w:cs="Arial"/>
        </w:rPr>
        <w:t xml:space="preserve">, </w:t>
      </w:r>
      <w:r w:rsidR="00CB14F8" w:rsidRPr="00295A64">
        <w:rPr>
          <w:rFonts w:ascii="Arial" w:hAnsi="Arial" w:cs="Arial"/>
        </w:rPr>
        <w:t>no uso das competências que lhe conferem</w:t>
      </w:r>
      <w:bookmarkStart w:id="0" w:name="_GoBack"/>
      <w:bookmarkEnd w:id="0"/>
      <w:r w:rsidR="00CB14F8" w:rsidRPr="00295A64">
        <w:rPr>
          <w:rFonts w:ascii="Arial" w:hAnsi="Arial" w:cs="Arial"/>
        </w:rPr>
        <w:t xml:space="preserve"> o art. 10, IV e parágrafo único, II da Resolução CAU/BR n° 179 de 22 de agosto de 2019, após </w:t>
      </w:r>
      <w:r w:rsidR="00A34C3C">
        <w:rPr>
          <w:rFonts w:ascii="Arial" w:hAnsi="Arial" w:cs="Arial"/>
        </w:rPr>
        <w:t>conhecimento</w:t>
      </w:r>
      <w:r w:rsidR="008970ED">
        <w:rPr>
          <w:rFonts w:ascii="Arial" w:hAnsi="Arial" w:cs="Arial"/>
        </w:rPr>
        <w:t xml:space="preserve"> e concordância sobre </w:t>
      </w:r>
      <w:r w:rsidR="00A34C3C">
        <w:rPr>
          <w:rFonts w:ascii="Arial" w:hAnsi="Arial" w:cs="Arial"/>
        </w:rPr>
        <w:t xml:space="preserve">o assunto </w:t>
      </w:r>
      <w:r w:rsidR="00CB14F8" w:rsidRPr="00295A64">
        <w:rPr>
          <w:rFonts w:ascii="Arial" w:hAnsi="Arial" w:cs="Arial"/>
        </w:rPr>
        <w:t>epigrafe, e</w:t>
      </w:r>
    </w:p>
    <w:p w:rsidR="00CB14F8" w:rsidRPr="00295A64" w:rsidRDefault="00CB14F8" w:rsidP="00295A64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360" w:lineRule="auto"/>
        <w:ind w:right="-1"/>
        <w:jc w:val="both"/>
        <w:rPr>
          <w:rFonts w:ascii="Arial" w:hAnsi="Arial" w:cs="Arial"/>
        </w:rPr>
      </w:pPr>
    </w:p>
    <w:p w:rsidR="00295A64" w:rsidRDefault="00295A64" w:rsidP="00295A64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360" w:lineRule="auto"/>
        <w:ind w:right="-1"/>
        <w:jc w:val="both"/>
        <w:rPr>
          <w:rFonts w:ascii="Arial" w:hAnsi="Arial" w:cs="Arial"/>
        </w:rPr>
      </w:pPr>
      <w:r w:rsidRPr="00295A64">
        <w:rPr>
          <w:rFonts w:ascii="Arial" w:hAnsi="Arial" w:cs="Arial"/>
        </w:rPr>
        <w:t xml:space="preserve">Considerando o </w:t>
      </w:r>
      <w:r>
        <w:rPr>
          <w:rFonts w:ascii="Arial" w:hAnsi="Arial" w:cs="Arial"/>
        </w:rPr>
        <w:t xml:space="preserve">pedido formalizado pelo CAU/PR, </w:t>
      </w:r>
      <w:r w:rsidR="00152BEE">
        <w:rPr>
          <w:rFonts w:ascii="Arial" w:hAnsi="Arial" w:cs="Arial"/>
        </w:rPr>
        <w:t>s</w:t>
      </w:r>
      <w:r w:rsidRPr="00295A64">
        <w:rPr>
          <w:rFonts w:ascii="Arial" w:hAnsi="Arial" w:cs="Arial"/>
        </w:rPr>
        <w:t xml:space="preserve">obre </w:t>
      </w:r>
      <w:r w:rsidR="008970ED">
        <w:rPr>
          <w:rFonts w:ascii="Arial" w:hAnsi="Arial" w:cs="Arial"/>
        </w:rPr>
        <w:t>a possibilidade de publicação d</w:t>
      </w:r>
      <w:r w:rsidRPr="00295A64">
        <w:rPr>
          <w:rFonts w:ascii="Arial" w:hAnsi="Arial" w:cs="Arial"/>
        </w:rPr>
        <w:t>o “Edital de Chamada Pública que versa sobre a Seleção de Interessados para Prestação de Serviços de Assistência Técnica Habitacional de Interesse Social”;</w:t>
      </w:r>
    </w:p>
    <w:p w:rsidR="00295A64" w:rsidRDefault="00295A64" w:rsidP="00295A64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360" w:lineRule="auto"/>
        <w:ind w:right="-1"/>
        <w:jc w:val="both"/>
        <w:rPr>
          <w:rFonts w:ascii="Arial" w:hAnsi="Arial" w:cs="Arial"/>
        </w:rPr>
      </w:pPr>
    </w:p>
    <w:p w:rsidR="00FD744D" w:rsidRDefault="00295A64" w:rsidP="00295A64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360" w:lineRule="auto"/>
        <w:ind w:right="-1"/>
        <w:jc w:val="both"/>
        <w:rPr>
          <w:rFonts w:ascii="Arial" w:eastAsia="MS Mincho" w:hAnsi="Arial" w:cs="Arial"/>
          <w:iCs/>
          <w:lang w:eastAsia="ar-SA"/>
        </w:rPr>
      </w:pPr>
      <w:r>
        <w:rPr>
          <w:rFonts w:ascii="Arial" w:eastAsia="MS Mincho" w:hAnsi="Arial" w:cs="Arial"/>
          <w:iCs/>
          <w:lang w:eastAsia="ar-SA"/>
        </w:rPr>
        <w:t>Considerando o questionamento</w:t>
      </w:r>
      <w:r w:rsidRPr="00295A64">
        <w:rPr>
          <w:rFonts w:ascii="Arial" w:eastAsia="MS Mincho" w:hAnsi="Arial" w:cs="Arial"/>
          <w:iCs/>
          <w:lang w:eastAsia="ar-SA"/>
        </w:rPr>
        <w:t xml:space="preserve"> “se há impedimento/vedações para prosseguimento das ações relativo ao “Edital de Chamada Pública que </w:t>
      </w:r>
      <w:r w:rsidR="008970ED">
        <w:rPr>
          <w:rFonts w:ascii="Arial" w:eastAsia="MS Mincho" w:hAnsi="Arial" w:cs="Arial"/>
          <w:iCs/>
          <w:lang w:eastAsia="ar-SA"/>
        </w:rPr>
        <w:t>trata da</w:t>
      </w:r>
      <w:r w:rsidRPr="00295A64">
        <w:rPr>
          <w:rFonts w:ascii="Arial" w:eastAsia="MS Mincho" w:hAnsi="Arial" w:cs="Arial"/>
          <w:iCs/>
          <w:lang w:eastAsia="ar-SA"/>
        </w:rPr>
        <w:t xml:space="preserve"> Seleção de Interessados para Prestação de Serviços de Assistência Técnica Habitacional de Interesse Social “, inclusive quanto a sua publicação e demais ações e prazos previstos no referido documento, que coincid</w:t>
      </w:r>
      <w:r w:rsidR="00B7183D">
        <w:rPr>
          <w:rFonts w:ascii="Arial" w:eastAsia="MS Mincho" w:hAnsi="Arial" w:cs="Arial"/>
          <w:iCs/>
          <w:lang w:eastAsia="ar-SA"/>
        </w:rPr>
        <w:t>em</w:t>
      </w:r>
      <w:r w:rsidRPr="00295A64">
        <w:rPr>
          <w:rFonts w:ascii="Arial" w:eastAsia="MS Mincho" w:hAnsi="Arial" w:cs="Arial"/>
          <w:iCs/>
          <w:lang w:eastAsia="ar-SA"/>
        </w:rPr>
        <w:t xml:space="preserve"> com o período eleitoral, conforme DELIBERAÇÃO PLENÁRIA DPOBR Nº 0094-09/2019, de 19 e 20 de setembro de 2019.</w:t>
      </w:r>
      <w:r w:rsidR="008F7D4D">
        <w:rPr>
          <w:rFonts w:ascii="Arial" w:eastAsia="MS Mincho" w:hAnsi="Arial" w:cs="Arial"/>
          <w:iCs/>
          <w:lang w:eastAsia="ar-SA"/>
        </w:rPr>
        <w:t>”</w:t>
      </w:r>
    </w:p>
    <w:p w:rsidR="00B7183D" w:rsidRDefault="00B7183D" w:rsidP="00295A64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360" w:lineRule="auto"/>
        <w:ind w:right="-1"/>
        <w:jc w:val="both"/>
        <w:rPr>
          <w:rFonts w:ascii="Arial" w:eastAsia="MS Mincho" w:hAnsi="Arial" w:cs="Arial"/>
          <w:iCs/>
          <w:lang w:eastAsia="ar-SA"/>
        </w:rPr>
      </w:pPr>
    </w:p>
    <w:p w:rsidR="00295A64" w:rsidRDefault="00295A64" w:rsidP="00295A64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360" w:lineRule="auto"/>
        <w:ind w:right="-1"/>
        <w:jc w:val="both"/>
        <w:rPr>
          <w:rFonts w:ascii="Arial" w:eastAsia="MS Mincho" w:hAnsi="Arial" w:cs="Arial"/>
          <w:iCs/>
          <w:lang w:eastAsia="ar-SA"/>
        </w:rPr>
      </w:pPr>
      <w:r w:rsidRPr="00295A64">
        <w:rPr>
          <w:rFonts w:ascii="Arial" w:eastAsia="MS Mincho" w:hAnsi="Arial" w:cs="Arial"/>
          <w:iCs/>
          <w:lang w:eastAsia="ar-SA"/>
        </w:rPr>
        <w:t>Considerando que nos termos do art. 10, inciso VII da Resolução CAU/BR n. 179 de 22 de agosto de 2019, compete ao CAU/</w:t>
      </w:r>
      <w:r w:rsidR="00E47B34">
        <w:rPr>
          <w:rFonts w:ascii="Arial" w:eastAsia="MS Mincho" w:hAnsi="Arial" w:cs="Arial"/>
          <w:iCs/>
          <w:lang w:eastAsia="ar-SA"/>
        </w:rPr>
        <w:t>PR</w:t>
      </w:r>
      <w:r w:rsidRPr="00295A64">
        <w:rPr>
          <w:rFonts w:ascii="Arial" w:eastAsia="MS Mincho" w:hAnsi="Arial" w:cs="Arial"/>
          <w:iCs/>
          <w:lang w:eastAsia="ar-SA"/>
        </w:rPr>
        <w:t xml:space="preserve"> “atuar no âmbito da Unidade da Federação, em primeira instância, como órgão consultivo, coordenador, decisório, disciplinador e fiscalizador do processo eleitoral, de modo a assegurar o cumprimento do Regulamento Eleitoral e a legitimidade e regularidade do processo eleitoral”.</w:t>
      </w:r>
    </w:p>
    <w:p w:rsidR="00295A64" w:rsidRDefault="00295A64" w:rsidP="00295A64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360" w:lineRule="auto"/>
        <w:ind w:right="-1"/>
        <w:jc w:val="both"/>
        <w:rPr>
          <w:rFonts w:ascii="Arial" w:eastAsia="MS Mincho" w:hAnsi="Arial" w:cs="Arial"/>
          <w:iCs/>
          <w:lang w:eastAsia="ar-SA"/>
        </w:rPr>
      </w:pPr>
    </w:p>
    <w:p w:rsidR="00295A64" w:rsidRPr="00295A64" w:rsidRDefault="00295A64" w:rsidP="00295A64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360" w:lineRule="auto"/>
        <w:ind w:right="-1"/>
        <w:jc w:val="both"/>
        <w:rPr>
          <w:rFonts w:ascii="Arial" w:eastAsia="MS Mincho" w:hAnsi="Arial" w:cs="Arial"/>
          <w:iCs/>
          <w:lang w:eastAsia="ar-SA"/>
        </w:rPr>
      </w:pPr>
      <w:r w:rsidRPr="00295A64">
        <w:rPr>
          <w:rFonts w:ascii="Arial" w:eastAsia="MS Mincho" w:hAnsi="Arial" w:cs="Arial"/>
          <w:iCs/>
          <w:lang w:eastAsia="ar-SA"/>
        </w:rPr>
        <w:t xml:space="preserve">Considerando </w:t>
      </w:r>
      <w:r w:rsidR="00E47B34">
        <w:rPr>
          <w:rFonts w:ascii="Arial" w:eastAsia="MS Mincho" w:hAnsi="Arial" w:cs="Arial"/>
          <w:iCs/>
          <w:lang w:eastAsia="ar-SA"/>
        </w:rPr>
        <w:t>o disposto Parecer Jurídico nº 64</w:t>
      </w:r>
      <w:r w:rsidRPr="00295A64">
        <w:rPr>
          <w:rFonts w:ascii="Arial" w:eastAsia="MS Mincho" w:hAnsi="Arial" w:cs="Arial"/>
          <w:iCs/>
          <w:lang w:eastAsia="ar-SA"/>
        </w:rPr>
        <w:t xml:space="preserve">/2020, de </w:t>
      </w:r>
      <w:r>
        <w:rPr>
          <w:rFonts w:ascii="Arial" w:eastAsia="MS Mincho" w:hAnsi="Arial" w:cs="Arial"/>
          <w:iCs/>
          <w:lang w:eastAsia="ar-SA"/>
        </w:rPr>
        <w:t>2</w:t>
      </w:r>
      <w:r w:rsidR="00E47B34">
        <w:rPr>
          <w:rFonts w:ascii="Arial" w:eastAsia="MS Mincho" w:hAnsi="Arial" w:cs="Arial"/>
          <w:iCs/>
          <w:lang w:eastAsia="ar-SA"/>
        </w:rPr>
        <w:t>8</w:t>
      </w:r>
      <w:r w:rsidRPr="00295A64">
        <w:rPr>
          <w:rFonts w:ascii="Arial" w:eastAsia="MS Mincho" w:hAnsi="Arial" w:cs="Arial"/>
          <w:iCs/>
          <w:lang w:eastAsia="ar-SA"/>
        </w:rPr>
        <w:t xml:space="preserve"> de agosto de 2020, </w:t>
      </w:r>
      <w:r w:rsidR="008970ED">
        <w:rPr>
          <w:rFonts w:ascii="Arial" w:eastAsia="MS Mincho" w:hAnsi="Arial" w:cs="Arial"/>
          <w:iCs/>
          <w:lang w:eastAsia="ar-SA"/>
        </w:rPr>
        <w:t xml:space="preserve">solicitado a assessoria jurídica da comissão eleitoral do CAU/PR, </w:t>
      </w:r>
      <w:r w:rsidRPr="00295A64">
        <w:rPr>
          <w:rFonts w:ascii="Arial" w:eastAsia="MS Mincho" w:hAnsi="Arial" w:cs="Arial"/>
          <w:iCs/>
          <w:lang w:eastAsia="ar-SA"/>
        </w:rPr>
        <w:t xml:space="preserve">que </w:t>
      </w:r>
      <w:r w:rsidR="008970ED">
        <w:rPr>
          <w:rFonts w:ascii="Arial" w:eastAsia="MS Mincho" w:hAnsi="Arial" w:cs="Arial"/>
          <w:iCs/>
          <w:lang w:eastAsia="ar-SA"/>
        </w:rPr>
        <w:t>analisou</w:t>
      </w:r>
      <w:r w:rsidRPr="00295A64">
        <w:rPr>
          <w:rFonts w:ascii="Arial" w:eastAsia="MS Mincho" w:hAnsi="Arial" w:cs="Arial"/>
          <w:iCs/>
          <w:lang w:eastAsia="ar-SA"/>
        </w:rPr>
        <w:t xml:space="preserve"> a “Possibilidade de publicação de Edital de ATHIS e sua execução durante o período eleitoral”</w:t>
      </w:r>
      <w:r w:rsidR="00506BCF">
        <w:rPr>
          <w:rFonts w:ascii="Arial" w:eastAsia="MS Mincho" w:hAnsi="Arial" w:cs="Arial"/>
          <w:iCs/>
          <w:lang w:eastAsia="ar-SA"/>
        </w:rPr>
        <w:t>.</w:t>
      </w:r>
    </w:p>
    <w:p w:rsidR="0078148B" w:rsidRDefault="0078148B" w:rsidP="00295A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47B34" w:rsidRDefault="00E47B34" w:rsidP="00295A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295A64" w:rsidRPr="00295A64" w:rsidRDefault="00295A64" w:rsidP="00295A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295A64">
        <w:rPr>
          <w:rFonts w:ascii="Arial" w:hAnsi="Arial" w:cs="Arial"/>
          <w:b/>
        </w:rPr>
        <w:lastRenderedPageBreak/>
        <w:t>DELIBEROU:</w:t>
      </w:r>
    </w:p>
    <w:p w:rsidR="00295A64" w:rsidRPr="00295A64" w:rsidRDefault="00295A64" w:rsidP="00295A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06BCF" w:rsidRPr="00295A64" w:rsidRDefault="00295A64" w:rsidP="00506BCF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360" w:lineRule="auto"/>
        <w:ind w:right="-1"/>
        <w:jc w:val="both"/>
        <w:rPr>
          <w:rFonts w:ascii="Arial" w:eastAsia="MS Mincho" w:hAnsi="Arial" w:cs="Arial"/>
          <w:iCs/>
          <w:lang w:eastAsia="ar-SA"/>
        </w:rPr>
      </w:pPr>
      <w:r w:rsidRPr="00295A64">
        <w:rPr>
          <w:rFonts w:ascii="Arial" w:hAnsi="Arial" w:cs="Arial"/>
        </w:rPr>
        <w:t xml:space="preserve">1– Pela possibilidade de prosseguimento das ações relativas ao Edital de Chamada Pública que </w:t>
      </w:r>
      <w:r w:rsidR="00B7183D">
        <w:rPr>
          <w:rFonts w:ascii="Arial" w:hAnsi="Arial" w:cs="Arial"/>
        </w:rPr>
        <w:t xml:space="preserve">trata da </w:t>
      </w:r>
      <w:r w:rsidRPr="00295A64">
        <w:rPr>
          <w:rFonts w:ascii="Arial" w:hAnsi="Arial" w:cs="Arial"/>
        </w:rPr>
        <w:t>Seleção de Interessados para Prestação de Serviços de Assistência Técnica Habitacional de Interesse Social, inclusive quanto a sua publicação e demais ações e prazos previstos no referido documento, que coincidirão com o período eleitoral.</w:t>
      </w:r>
      <w:r w:rsidR="00506BCF" w:rsidRPr="00506BCF">
        <w:rPr>
          <w:rFonts w:ascii="Arial" w:eastAsia="MS Mincho" w:hAnsi="Arial" w:cs="Arial"/>
          <w:iCs/>
          <w:lang w:eastAsia="ar-SA"/>
        </w:rPr>
        <w:t xml:space="preserve"> </w:t>
      </w:r>
      <w:r w:rsidR="00506BCF">
        <w:rPr>
          <w:rFonts w:ascii="Arial" w:eastAsia="MS Mincho" w:hAnsi="Arial" w:cs="Arial"/>
          <w:iCs/>
          <w:lang w:eastAsia="ar-SA"/>
        </w:rPr>
        <w:t>O</w:t>
      </w:r>
      <w:r w:rsidR="00506BCF" w:rsidRPr="00506BCF">
        <w:rPr>
          <w:rFonts w:ascii="Arial" w:eastAsia="MS Mincho" w:hAnsi="Arial" w:cs="Arial"/>
          <w:iCs/>
          <w:lang w:eastAsia="ar-SA"/>
        </w:rPr>
        <w:t>bserva que o fato registrado não configura ilegalidade, podendo, por tanto, haver a publicação e execução do edital de ATHIS.</w:t>
      </w:r>
    </w:p>
    <w:p w:rsidR="00295A64" w:rsidRPr="00295A64" w:rsidRDefault="00295A64" w:rsidP="00295A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295A64" w:rsidRPr="00295A64" w:rsidRDefault="00E47B34" w:rsidP="00295A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5A64" w:rsidRPr="00295A64">
        <w:rPr>
          <w:rFonts w:ascii="Arial" w:hAnsi="Arial" w:cs="Arial"/>
        </w:rPr>
        <w:t>– Pela observação, pelo CAU/</w:t>
      </w:r>
      <w:r w:rsidR="000F20F1">
        <w:rPr>
          <w:rFonts w:ascii="Arial" w:hAnsi="Arial" w:cs="Arial"/>
        </w:rPr>
        <w:t>PR</w:t>
      </w:r>
      <w:r w:rsidR="00295A64" w:rsidRPr="00295A64">
        <w:rPr>
          <w:rFonts w:ascii="Arial" w:hAnsi="Arial" w:cs="Arial"/>
        </w:rPr>
        <w:t xml:space="preserve">, </w:t>
      </w:r>
      <w:r w:rsidR="00295A64" w:rsidRPr="008F7D4D">
        <w:rPr>
          <w:rFonts w:ascii="Arial" w:hAnsi="Arial" w:cs="Arial"/>
          <w:u w:val="single"/>
        </w:rPr>
        <w:t xml:space="preserve">das recomendações </w:t>
      </w:r>
      <w:r w:rsidR="00B7183D">
        <w:rPr>
          <w:rFonts w:ascii="Arial" w:hAnsi="Arial" w:cs="Arial"/>
          <w:u w:val="single"/>
        </w:rPr>
        <w:t>apresentadas</w:t>
      </w:r>
      <w:r w:rsidR="00295A64" w:rsidRPr="008F7D4D">
        <w:rPr>
          <w:rFonts w:ascii="Arial" w:hAnsi="Arial" w:cs="Arial"/>
          <w:u w:val="single"/>
        </w:rPr>
        <w:t xml:space="preserve"> no Parecer Jurídico nº </w:t>
      </w:r>
      <w:r w:rsidRPr="008F7D4D">
        <w:rPr>
          <w:rFonts w:ascii="Arial" w:hAnsi="Arial" w:cs="Arial"/>
          <w:u w:val="single"/>
        </w:rPr>
        <w:t>64</w:t>
      </w:r>
      <w:r w:rsidR="00295A64" w:rsidRPr="008F7D4D">
        <w:rPr>
          <w:rFonts w:ascii="Arial" w:hAnsi="Arial" w:cs="Arial"/>
          <w:u w:val="single"/>
        </w:rPr>
        <w:t>/2020,</w:t>
      </w:r>
      <w:r w:rsidR="00295A64" w:rsidRPr="00295A6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28</w:t>
      </w:r>
      <w:r w:rsidR="00295A64" w:rsidRPr="00295A64">
        <w:rPr>
          <w:rFonts w:ascii="Arial" w:hAnsi="Arial" w:cs="Arial"/>
        </w:rPr>
        <w:t xml:space="preserve"> de agosto de 2020</w:t>
      </w:r>
      <w:r w:rsidR="00A34C3C">
        <w:rPr>
          <w:rFonts w:ascii="Arial" w:hAnsi="Arial" w:cs="Arial"/>
        </w:rPr>
        <w:t>, apresentadas no Art.31 do Regulamento Eleitoral</w:t>
      </w:r>
      <w:r w:rsidR="00295A64" w:rsidRPr="00295A64">
        <w:rPr>
          <w:rFonts w:ascii="Arial" w:hAnsi="Arial" w:cs="Arial"/>
        </w:rPr>
        <w:t>.</w:t>
      </w:r>
    </w:p>
    <w:p w:rsidR="00295A64" w:rsidRPr="00295A64" w:rsidRDefault="00295A64" w:rsidP="00295A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295A64" w:rsidRPr="00295A64" w:rsidRDefault="00E47B34" w:rsidP="00295A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95A64" w:rsidRPr="00295A64">
        <w:rPr>
          <w:rFonts w:ascii="Arial" w:hAnsi="Arial" w:cs="Arial"/>
        </w:rPr>
        <w:t>– Pelo encaminhamento da presente Deliberação à CEN-CAU/BR para conhecimento.</w:t>
      </w:r>
    </w:p>
    <w:p w:rsidR="00295A64" w:rsidRPr="00295A64" w:rsidRDefault="00295A64" w:rsidP="00295A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4742" w:rsidRPr="00295A64" w:rsidRDefault="00D74742" w:rsidP="00295A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295A64">
        <w:rPr>
          <w:rFonts w:ascii="Arial" w:hAnsi="Arial" w:cs="Arial"/>
        </w:rPr>
        <w:t xml:space="preserve">Curitiba - PR, </w:t>
      </w:r>
      <w:r w:rsidR="000F20F1">
        <w:rPr>
          <w:rFonts w:ascii="Arial" w:hAnsi="Arial" w:cs="Arial"/>
        </w:rPr>
        <w:t>2</w:t>
      </w:r>
      <w:r w:rsidR="00E47B34">
        <w:rPr>
          <w:rFonts w:ascii="Arial" w:hAnsi="Arial" w:cs="Arial"/>
        </w:rPr>
        <w:t>8</w:t>
      </w:r>
      <w:r w:rsidR="000F20F1">
        <w:rPr>
          <w:rFonts w:ascii="Arial" w:hAnsi="Arial" w:cs="Arial"/>
        </w:rPr>
        <w:t xml:space="preserve"> de agosto</w:t>
      </w:r>
      <w:r w:rsidRPr="00295A64">
        <w:rPr>
          <w:rFonts w:ascii="Arial" w:hAnsi="Arial" w:cs="Arial"/>
        </w:rPr>
        <w:t xml:space="preserve"> de 2020</w:t>
      </w:r>
    </w:p>
    <w:p w:rsidR="00D74742" w:rsidRPr="00295A64" w:rsidRDefault="00D74742" w:rsidP="00295A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D74742" w:rsidRPr="00295A64" w:rsidRDefault="00D74742" w:rsidP="00295A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D74742" w:rsidRPr="00295A64" w:rsidRDefault="00D74742" w:rsidP="00295A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D74742" w:rsidRPr="00295A64" w:rsidRDefault="00062972" w:rsidP="00295A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295A64">
        <w:rPr>
          <w:rFonts w:ascii="Arial" w:hAnsi="Arial" w:cs="Arial"/>
        </w:rPr>
        <w:t xml:space="preserve">                                                                             </w:t>
      </w: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538"/>
      </w:tblGrid>
      <w:tr w:rsidR="00D74742" w:rsidRPr="00295A64" w:rsidTr="009A0A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Pr="00295A64" w:rsidRDefault="00820142" w:rsidP="00295A64">
            <w:pPr>
              <w:autoSpaceDE w:val="0"/>
              <w:spacing w:after="0" w:line="360" w:lineRule="auto"/>
              <w:rPr>
                <w:rFonts w:ascii="Arial" w:hAnsi="Arial" w:cs="Arial"/>
              </w:rPr>
            </w:pPr>
            <w:r w:rsidRPr="00295A64">
              <w:rPr>
                <w:rFonts w:ascii="Arial" w:hAnsi="Arial" w:cs="Arial"/>
                <w:b/>
                <w:color w:val="000000" w:themeColor="text1"/>
              </w:rPr>
              <w:t>MÁRIO BARBOSA DA SILVA</w:t>
            </w:r>
            <w:r w:rsidR="00D74742" w:rsidRPr="00295A64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D74742" w:rsidRPr="00295A64">
              <w:rPr>
                <w:rFonts w:ascii="Arial" w:eastAsia="Calibri" w:hAnsi="Arial" w:cs="Arial"/>
                <w:lang w:eastAsia="pt-BR"/>
              </w:rPr>
              <w:t>Coordenador</w:t>
            </w:r>
          </w:p>
          <w:p w:rsidR="00D74742" w:rsidRPr="00295A64" w:rsidRDefault="00D74742" w:rsidP="00295A64">
            <w:pPr>
              <w:autoSpaceDE w:val="0"/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Pr="00295A64" w:rsidRDefault="00D74742" w:rsidP="00295A6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95A64">
              <w:rPr>
                <w:rFonts w:ascii="Arial" w:eastAsia="Times New Roman" w:hAnsi="Arial" w:cs="Arial"/>
                <w:lang w:eastAsia="pt-BR"/>
              </w:rPr>
              <w:t>_______</w:t>
            </w:r>
            <w:r w:rsidR="00E47B34">
              <w:rPr>
                <w:rFonts w:ascii="Arial" w:eastAsia="Times New Roman" w:hAnsi="Arial" w:cs="Arial"/>
                <w:lang w:eastAsia="pt-BR"/>
              </w:rPr>
              <w:t>___________________________</w:t>
            </w:r>
          </w:p>
        </w:tc>
      </w:tr>
    </w:tbl>
    <w:p w:rsidR="00D74742" w:rsidRPr="00295A64" w:rsidRDefault="00D74742" w:rsidP="00295A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D74742" w:rsidRPr="00295A64" w:rsidRDefault="00A35575" w:rsidP="008F7D4D">
      <w:pPr>
        <w:spacing w:before="2" w:after="2" w:line="276" w:lineRule="auto"/>
        <w:jc w:val="both"/>
        <w:rPr>
          <w:rFonts w:ascii="Arial" w:eastAsia="Calibri" w:hAnsi="Arial" w:cs="Arial"/>
          <w:b/>
        </w:rPr>
      </w:pPr>
      <w:bookmarkStart w:id="1" w:name="_Hlk35511071"/>
      <w:r w:rsidRPr="00295A64">
        <w:rPr>
          <w:rFonts w:ascii="Arial" w:hAnsi="Arial" w:cs="Arial"/>
          <w:bCs/>
          <w:color w:val="000000"/>
          <w:spacing w:val="4"/>
          <w:lang w:eastAsia="pt-BR"/>
        </w:rPr>
        <w:t>Considerando a necessidade de ações cautelosas em defesa da saúde dos membros da comissão eleitoral do CAU/PR, assistente e colaboradores do Conselho e a implantação de reuniões deliberativas virtuais autorizadas pelo CAU/BR, atesto a veracidade e a autenticidade das informações prestadas.</w:t>
      </w:r>
    </w:p>
    <w:p w:rsidR="00501850" w:rsidRPr="00295A64" w:rsidRDefault="00501850" w:rsidP="00295A64">
      <w:pPr>
        <w:spacing w:before="2" w:after="2" w:line="360" w:lineRule="auto"/>
        <w:jc w:val="center"/>
        <w:rPr>
          <w:rFonts w:ascii="Arial" w:eastAsia="Calibri" w:hAnsi="Arial" w:cs="Arial"/>
          <w:b/>
        </w:rPr>
      </w:pPr>
    </w:p>
    <w:p w:rsidR="00A35575" w:rsidRPr="00295A64" w:rsidRDefault="00A35575" w:rsidP="00295A64">
      <w:pPr>
        <w:spacing w:before="2" w:after="2" w:line="360" w:lineRule="auto"/>
        <w:jc w:val="center"/>
        <w:rPr>
          <w:rFonts w:ascii="Arial" w:eastAsia="Calibri" w:hAnsi="Arial" w:cs="Arial"/>
          <w:b/>
        </w:rPr>
      </w:pPr>
    </w:p>
    <w:p w:rsidR="00A35575" w:rsidRPr="00295A64" w:rsidRDefault="00A35575" w:rsidP="00D74742">
      <w:pPr>
        <w:spacing w:before="2" w:after="2" w:line="276" w:lineRule="auto"/>
        <w:jc w:val="center"/>
        <w:rPr>
          <w:rFonts w:ascii="Arial" w:eastAsia="Calibri" w:hAnsi="Arial" w:cs="Arial"/>
          <w:b/>
        </w:rPr>
      </w:pPr>
    </w:p>
    <w:bookmarkEnd w:id="1"/>
    <w:p w:rsidR="00D74742" w:rsidRPr="008F7D4D" w:rsidRDefault="008F7D4D" w:rsidP="00D74742">
      <w:pPr>
        <w:spacing w:before="2" w:after="2" w:line="276" w:lineRule="auto"/>
        <w:jc w:val="center"/>
        <w:rPr>
          <w:rFonts w:ascii="Arial" w:eastAsia="Calibri" w:hAnsi="Arial" w:cs="Arial"/>
        </w:rPr>
      </w:pPr>
      <w:r w:rsidRPr="008F7D4D">
        <w:rPr>
          <w:rFonts w:ascii="Arial" w:eastAsia="Calibri" w:hAnsi="Arial" w:cs="Arial"/>
        </w:rPr>
        <w:t>_________________________________________</w:t>
      </w:r>
    </w:p>
    <w:p w:rsidR="00D74742" w:rsidRPr="00295A64" w:rsidRDefault="00D74742" w:rsidP="00D74742">
      <w:pPr>
        <w:spacing w:before="2" w:after="2" w:line="276" w:lineRule="auto"/>
        <w:jc w:val="center"/>
        <w:rPr>
          <w:rFonts w:ascii="Arial" w:eastAsia="Calibri" w:hAnsi="Arial" w:cs="Arial"/>
          <w:b/>
        </w:rPr>
      </w:pPr>
      <w:r w:rsidRPr="00295A64">
        <w:rPr>
          <w:rFonts w:ascii="Arial" w:eastAsia="Calibri" w:hAnsi="Arial" w:cs="Arial"/>
          <w:b/>
        </w:rPr>
        <w:t>FRANCINE CLAUDIA KOSCIUV</w:t>
      </w:r>
    </w:p>
    <w:p w:rsidR="00D74742" w:rsidRPr="00295A64" w:rsidRDefault="00D74742" w:rsidP="00D74742">
      <w:pPr>
        <w:tabs>
          <w:tab w:val="left" w:pos="1560"/>
        </w:tabs>
        <w:spacing w:before="2" w:after="2" w:line="276" w:lineRule="auto"/>
        <w:jc w:val="center"/>
        <w:rPr>
          <w:rFonts w:ascii="Arial" w:eastAsia="Calibri" w:hAnsi="Arial" w:cs="Arial"/>
        </w:rPr>
      </w:pPr>
      <w:r w:rsidRPr="00295A64">
        <w:rPr>
          <w:rFonts w:ascii="Arial" w:eastAsia="Calibri" w:hAnsi="Arial" w:cs="Arial"/>
        </w:rPr>
        <w:t xml:space="preserve">Assistente da </w:t>
      </w:r>
      <w:r w:rsidRPr="00295A64">
        <w:rPr>
          <w:rFonts w:ascii="Arial" w:hAnsi="Arial" w:cs="Arial"/>
          <w:bCs/>
          <w:color w:val="000000"/>
          <w:spacing w:val="4"/>
          <w:lang w:eastAsia="pt-BR"/>
        </w:rPr>
        <w:t xml:space="preserve">Comissão </w:t>
      </w:r>
      <w:r w:rsidR="00AE6511" w:rsidRPr="00295A64">
        <w:rPr>
          <w:rFonts w:ascii="Arial" w:hAnsi="Arial" w:cs="Arial"/>
          <w:bCs/>
          <w:color w:val="000000"/>
          <w:spacing w:val="4"/>
          <w:lang w:eastAsia="pt-BR"/>
        </w:rPr>
        <w:t>Eleitoral do CAU/PR</w:t>
      </w:r>
    </w:p>
    <w:p w:rsidR="00D74742" w:rsidRPr="00295A64" w:rsidRDefault="00D74742" w:rsidP="00D74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820142" w:rsidRPr="00295A64" w:rsidRDefault="00820142" w:rsidP="00820142">
      <w:pPr>
        <w:tabs>
          <w:tab w:val="center" w:pos="4252"/>
          <w:tab w:val="right" w:pos="8504"/>
        </w:tabs>
        <w:rPr>
          <w:rFonts w:ascii="Arial" w:eastAsia="Calibri" w:hAnsi="Arial" w:cs="Arial"/>
          <w:b/>
        </w:rPr>
      </w:pPr>
    </w:p>
    <w:p w:rsidR="00820142" w:rsidRPr="00295A64" w:rsidRDefault="00820142" w:rsidP="00820142">
      <w:pPr>
        <w:tabs>
          <w:tab w:val="center" w:pos="4252"/>
          <w:tab w:val="right" w:pos="8504"/>
        </w:tabs>
        <w:rPr>
          <w:rFonts w:ascii="Arial" w:eastAsia="Calibri" w:hAnsi="Arial" w:cs="Arial"/>
          <w:b/>
        </w:rPr>
      </w:pPr>
    </w:p>
    <w:p w:rsidR="00820142" w:rsidRPr="00295A64" w:rsidRDefault="00820142" w:rsidP="00820142">
      <w:pPr>
        <w:tabs>
          <w:tab w:val="center" w:pos="4252"/>
          <w:tab w:val="right" w:pos="8504"/>
        </w:tabs>
        <w:rPr>
          <w:rFonts w:ascii="Arial" w:eastAsia="Calibri" w:hAnsi="Arial" w:cs="Arial"/>
          <w:b/>
        </w:rPr>
      </w:pPr>
    </w:p>
    <w:p w:rsidR="00820142" w:rsidRPr="00295A64" w:rsidRDefault="00820142" w:rsidP="00820142">
      <w:pPr>
        <w:tabs>
          <w:tab w:val="center" w:pos="4252"/>
          <w:tab w:val="right" w:pos="8504"/>
        </w:tabs>
        <w:rPr>
          <w:rFonts w:ascii="Arial" w:eastAsia="Calibri" w:hAnsi="Arial" w:cs="Arial"/>
          <w:b/>
        </w:rPr>
      </w:pPr>
    </w:p>
    <w:p w:rsidR="00820142" w:rsidRPr="00295A64" w:rsidRDefault="00820142" w:rsidP="00820142">
      <w:pPr>
        <w:jc w:val="center"/>
        <w:rPr>
          <w:rFonts w:ascii="Arial" w:hAnsi="Arial" w:cs="Arial"/>
          <w:b/>
          <w:lang w:eastAsia="pt-BR"/>
        </w:rPr>
      </w:pPr>
      <w:r w:rsidRPr="00295A64">
        <w:rPr>
          <w:rFonts w:ascii="Arial" w:hAnsi="Arial" w:cs="Arial"/>
          <w:b/>
          <w:lang w:eastAsia="pt-BR"/>
        </w:rPr>
        <w:t>Folha de Votação</w:t>
      </w:r>
    </w:p>
    <w:tbl>
      <w:tblPr>
        <w:tblW w:w="1009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588"/>
        <w:gridCol w:w="3544"/>
        <w:gridCol w:w="709"/>
        <w:gridCol w:w="850"/>
        <w:gridCol w:w="851"/>
        <w:gridCol w:w="396"/>
        <w:gridCol w:w="454"/>
      </w:tblGrid>
      <w:tr w:rsidR="00820142" w:rsidRPr="00295A64" w:rsidTr="00E47B34">
        <w:tc>
          <w:tcPr>
            <w:tcW w:w="3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AE6511" w:rsidP="00106815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Conselheiro (</w:t>
            </w:r>
            <w:r w:rsidR="00820142" w:rsidRPr="00295A64">
              <w:rPr>
                <w:rFonts w:ascii="Arial" w:hAnsi="Arial" w:cs="Arial"/>
                <w:b/>
                <w:lang w:eastAsia="pt-BR"/>
              </w:rPr>
              <w:t>a)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Votação</w:t>
            </w:r>
          </w:p>
        </w:tc>
      </w:tr>
      <w:tr w:rsidR="00820142" w:rsidRPr="00295A64" w:rsidTr="00E47B34">
        <w:tc>
          <w:tcPr>
            <w:tcW w:w="32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ind w:right="-44"/>
              <w:jc w:val="center"/>
              <w:rPr>
                <w:rFonts w:ascii="Arial" w:hAnsi="Arial" w:cs="Arial"/>
                <w:b/>
                <w:lang w:eastAsia="pt-BR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Não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Abst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Ausên</w:t>
            </w:r>
          </w:p>
        </w:tc>
      </w:tr>
      <w:tr w:rsidR="00820142" w:rsidRPr="00295A64" w:rsidTr="00E47B34">
        <w:trPr>
          <w:trHeight w:val="28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  <w:r w:rsidRPr="00295A64">
              <w:rPr>
                <w:rFonts w:ascii="Arial" w:hAnsi="Arial" w:cs="Arial"/>
                <w:lang w:eastAsia="pt-BR"/>
              </w:rPr>
              <w:t xml:space="preserve">Coordenador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</w:rPr>
            </w:pPr>
            <w:r w:rsidRPr="00295A64">
              <w:rPr>
                <w:rFonts w:ascii="Arial" w:hAnsi="Arial" w:cs="Arial"/>
                <w:color w:val="000000"/>
              </w:rPr>
              <w:t xml:space="preserve">Mário Barbosa da Silva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jc w:val="center"/>
              <w:rPr>
                <w:rFonts w:ascii="Arial" w:hAnsi="Arial" w:cs="Arial"/>
                <w:lang w:eastAsia="pt-BR"/>
              </w:rPr>
            </w:pPr>
            <w:r w:rsidRPr="00295A64">
              <w:rPr>
                <w:rFonts w:ascii="Arial" w:hAnsi="Arial" w:cs="Arial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</w:tr>
      <w:tr w:rsidR="00820142" w:rsidRPr="00295A64" w:rsidTr="00E47B34">
        <w:trPr>
          <w:trHeight w:val="28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  <w:r w:rsidRPr="00295A64">
              <w:rPr>
                <w:rFonts w:ascii="Arial" w:hAnsi="Arial" w:cs="Arial"/>
                <w:lang w:eastAsia="pt-BR"/>
              </w:rPr>
              <w:t>Membro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</w:rPr>
            </w:pPr>
            <w:r w:rsidRPr="00295A64">
              <w:rPr>
                <w:rFonts w:ascii="Arial" w:hAnsi="Arial" w:cs="Arial"/>
                <w:color w:val="000000"/>
              </w:rPr>
              <w:t>Thaíse Marcela N. Oliveira Andrade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E47B34" w:rsidP="00106815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Sim</w:t>
            </w:r>
          </w:p>
        </w:tc>
      </w:tr>
      <w:tr w:rsidR="00820142" w:rsidRPr="00295A64" w:rsidTr="00E47B34">
        <w:trPr>
          <w:trHeight w:val="28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  <w:r w:rsidRPr="00295A64">
              <w:rPr>
                <w:rFonts w:ascii="Arial" w:hAnsi="Arial" w:cs="Arial"/>
                <w:lang w:eastAsia="pt-BR"/>
              </w:rPr>
              <w:t>Membro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</w:rPr>
            </w:pPr>
            <w:r w:rsidRPr="00295A64">
              <w:rPr>
                <w:rFonts w:ascii="Arial" w:hAnsi="Arial" w:cs="Arial"/>
                <w:color w:val="000000"/>
              </w:rPr>
              <w:t>Rafael  Dal-Ri</w:t>
            </w:r>
            <w:r w:rsidRPr="00295A6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jc w:val="center"/>
              <w:rPr>
                <w:rFonts w:ascii="Arial" w:hAnsi="Arial" w:cs="Arial"/>
                <w:lang w:eastAsia="pt-BR"/>
              </w:rPr>
            </w:pPr>
            <w:r w:rsidRPr="00295A64">
              <w:rPr>
                <w:rFonts w:ascii="Arial" w:hAnsi="Arial" w:cs="Arial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</w:tr>
      <w:tr w:rsidR="00820142" w:rsidRPr="00295A64" w:rsidTr="00E47B34">
        <w:trPr>
          <w:trHeight w:val="28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  <w:r w:rsidRPr="00295A64">
              <w:rPr>
                <w:rFonts w:ascii="Arial" w:hAnsi="Arial" w:cs="Arial"/>
                <w:lang w:eastAsia="pt-BR"/>
              </w:rPr>
              <w:t>Membro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  <w:color w:val="000000"/>
              </w:rPr>
            </w:pPr>
            <w:r w:rsidRPr="00295A64">
              <w:rPr>
                <w:rFonts w:ascii="Arial" w:hAnsi="Arial" w:cs="Arial"/>
                <w:color w:val="000000"/>
              </w:rPr>
              <w:t>Isabel Maria de Melo Borba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E47B34" w:rsidP="00106815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Sim</w:t>
            </w:r>
          </w:p>
        </w:tc>
      </w:tr>
      <w:tr w:rsidR="00820142" w:rsidRPr="00295A64" w:rsidTr="00E47B34">
        <w:trPr>
          <w:trHeight w:val="28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  <w:r w:rsidRPr="00295A64">
              <w:rPr>
                <w:rFonts w:ascii="Arial" w:hAnsi="Arial" w:cs="Arial"/>
                <w:lang w:eastAsia="pt-BR"/>
              </w:rPr>
              <w:t>Membro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  <w:color w:val="000000"/>
              </w:rPr>
            </w:pPr>
            <w:r w:rsidRPr="00295A64">
              <w:rPr>
                <w:rFonts w:ascii="Arial" w:hAnsi="Arial" w:cs="Arial"/>
                <w:color w:val="000000"/>
              </w:rPr>
              <w:t>Simone Aparecida Polli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jc w:val="center"/>
              <w:rPr>
                <w:rFonts w:ascii="Arial" w:hAnsi="Arial" w:cs="Arial"/>
                <w:lang w:eastAsia="pt-BR"/>
              </w:rPr>
            </w:pPr>
            <w:r w:rsidRPr="00295A64">
              <w:rPr>
                <w:rFonts w:ascii="Arial" w:hAnsi="Arial" w:cs="Arial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</w:tr>
      <w:tr w:rsidR="00820142" w:rsidRPr="00295A64" w:rsidTr="00E47B34">
        <w:trPr>
          <w:trHeight w:val="20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ind w:right="-108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</w:tr>
      <w:tr w:rsidR="00820142" w:rsidRPr="00295A64" w:rsidTr="00E47B34">
        <w:trPr>
          <w:trHeight w:val="3186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b/>
                <w:lang w:eastAsia="pt-BR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Histórico da votação:</w:t>
            </w:r>
          </w:p>
          <w:p w:rsidR="00820142" w:rsidRPr="00295A64" w:rsidRDefault="00820142" w:rsidP="00106815">
            <w:pPr>
              <w:rPr>
                <w:rFonts w:ascii="Arial" w:hAnsi="Arial" w:cs="Arial"/>
                <w:b/>
                <w:lang w:eastAsia="pt-BR"/>
              </w:rPr>
            </w:pPr>
          </w:p>
          <w:p w:rsidR="00820142" w:rsidRPr="00295A64" w:rsidRDefault="00072AE8" w:rsidP="00106815">
            <w:pPr>
              <w:rPr>
                <w:rFonts w:ascii="Arial" w:hAnsi="Arial" w:cs="Arial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3</w:t>
            </w:r>
            <w:r w:rsidR="00820142" w:rsidRPr="00295A64">
              <w:rPr>
                <w:rFonts w:ascii="Arial" w:hAnsi="Arial" w:cs="Arial"/>
                <w:b/>
                <w:lang w:eastAsia="pt-BR"/>
              </w:rPr>
              <w:t xml:space="preserve">ª </w:t>
            </w:r>
            <w:r w:rsidR="00AE6511" w:rsidRPr="00295A64">
              <w:rPr>
                <w:rFonts w:ascii="Arial" w:hAnsi="Arial" w:cs="Arial"/>
                <w:b/>
                <w:lang w:eastAsia="pt-BR"/>
              </w:rPr>
              <w:t xml:space="preserve">DELIBERAÇÃO </w:t>
            </w:r>
            <w:r w:rsidR="00AE6511" w:rsidRPr="00295A64">
              <w:rPr>
                <w:rFonts w:ascii="Arial" w:eastAsia="Calibri" w:hAnsi="Arial" w:cs="Arial"/>
                <w:b/>
              </w:rPr>
              <w:t>DA</w:t>
            </w:r>
            <w:r w:rsidR="00820142" w:rsidRPr="00295A64">
              <w:rPr>
                <w:rFonts w:ascii="Arial" w:eastAsia="Calibri" w:hAnsi="Arial" w:cs="Arial"/>
                <w:b/>
              </w:rPr>
              <w:t xml:space="preserve"> CE-CAU/PR</w:t>
            </w:r>
            <w:r w:rsidR="00820142" w:rsidRPr="00295A64">
              <w:rPr>
                <w:rFonts w:ascii="Arial" w:hAnsi="Arial" w:cs="Arial"/>
                <w:b/>
                <w:lang w:eastAsia="pt-BR"/>
              </w:rPr>
              <w:t xml:space="preserve"> DE 2020</w:t>
            </w:r>
          </w:p>
          <w:p w:rsidR="00820142" w:rsidRPr="00295A64" w:rsidRDefault="00820142" w:rsidP="00106815">
            <w:pPr>
              <w:rPr>
                <w:rFonts w:ascii="Arial" w:hAnsi="Arial" w:cs="Arial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Data:</w:t>
            </w:r>
            <w:r w:rsidRPr="00295A64">
              <w:rPr>
                <w:rFonts w:ascii="Arial" w:hAnsi="Arial" w:cs="Arial"/>
                <w:lang w:eastAsia="pt-BR"/>
              </w:rPr>
              <w:t xml:space="preserve"> </w:t>
            </w:r>
            <w:r w:rsidR="00506BCF">
              <w:rPr>
                <w:rFonts w:ascii="Arial" w:hAnsi="Arial" w:cs="Arial"/>
                <w:lang w:eastAsia="pt-BR"/>
              </w:rPr>
              <w:t>28/08/2020</w:t>
            </w:r>
          </w:p>
          <w:p w:rsidR="00820142" w:rsidRPr="00295A64" w:rsidRDefault="00820142" w:rsidP="00106815">
            <w:pPr>
              <w:jc w:val="both"/>
              <w:rPr>
                <w:rFonts w:ascii="Arial" w:hAnsi="Arial" w:cs="Arial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Matéria em votação:</w:t>
            </w:r>
            <w:r w:rsidRPr="00295A64">
              <w:rPr>
                <w:rFonts w:ascii="Arial" w:hAnsi="Arial" w:cs="Arial"/>
                <w:lang w:eastAsia="pt-BR"/>
              </w:rPr>
              <w:t xml:space="preserve"> </w:t>
            </w:r>
            <w:r w:rsidR="00506BCF">
              <w:rPr>
                <w:rFonts w:ascii="Arial" w:hAnsi="Arial" w:cs="Arial"/>
              </w:rPr>
              <w:t>Publicação do Edital de Athis durante o período eleitoral do</w:t>
            </w:r>
            <w:r w:rsidR="00072AE8" w:rsidRPr="00295A64">
              <w:rPr>
                <w:rFonts w:ascii="Arial" w:hAnsi="Arial" w:cs="Arial"/>
              </w:rPr>
              <w:t xml:space="preserve"> CAU/PR.</w:t>
            </w:r>
          </w:p>
          <w:p w:rsidR="00820142" w:rsidRPr="00295A64" w:rsidRDefault="00820142" w:rsidP="00106815">
            <w:pPr>
              <w:rPr>
                <w:rFonts w:ascii="Arial" w:hAnsi="Arial" w:cs="Arial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Resultado da votação: Sim</w:t>
            </w:r>
            <w:r w:rsidRPr="00295A64">
              <w:rPr>
                <w:rFonts w:ascii="Arial" w:hAnsi="Arial" w:cs="Arial"/>
                <w:lang w:eastAsia="pt-BR"/>
              </w:rPr>
              <w:t xml:space="preserve"> (</w:t>
            </w:r>
            <w:r w:rsidR="00DD1873">
              <w:rPr>
                <w:rFonts w:ascii="Arial" w:hAnsi="Arial" w:cs="Arial"/>
                <w:lang w:eastAsia="pt-BR"/>
              </w:rPr>
              <w:t>3</w:t>
            </w:r>
            <w:r w:rsidRPr="00295A64">
              <w:rPr>
                <w:rFonts w:ascii="Arial" w:hAnsi="Arial" w:cs="Arial"/>
                <w:lang w:eastAsia="pt-BR"/>
              </w:rPr>
              <w:t xml:space="preserve">) </w:t>
            </w:r>
            <w:r w:rsidRPr="00295A64">
              <w:rPr>
                <w:rFonts w:ascii="Arial" w:hAnsi="Arial" w:cs="Arial"/>
                <w:b/>
                <w:lang w:eastAsia="pt-BR"/>
              </w:rPr>
              <w:t>Não</w:t>
            </w:r>
            <w:r w:rsidRPr="00295A64">
              <w:rPr>
                <w:rFonts w:ascii="Arial" w:hAnsi="Arial" w:cs="Arial"/>
                <w:lang w:eastAsia="pt-BR"/>
              </w:rPr>
              <w:t xml:space="preserve"> (0) </w:t>
            </w:r>
            <w:r w:rsidRPr="00295A64">
              <w:rPr>
                <w:rFonts w:ascii="Arial" w:hAnsi="Arial" w:cs="Arial"/>
                <w:b/>
                <w:lang w:eastAsia="pt-BR"/>
              </w:rPr>
              <w:t>Abstenções</w:t>
            </w:r>
            <w:r w:rsidRPr="00295A64">
              <w:rPr>
                <w:rFonts w:ascii="Arial" w:hAnsi="Arial" w:cs="Arial"/>
                <w:lang w:eastAsia="pt-BR"/>
              </w:rPr>
              <w:t xml:space="preserve"> (0) </w:t>
            </w:r>
            <w:r w:rsidRPr="00295A64">
              <w:rPr>
                <w:rFonts w:ascii="Arial" w:hAnsi="Arial" w:cs="Arial"/>
                <w:b/>
                <w:lang w:eastAsia="pt-BR"/>
              </w:rPr>
              <w:t>Ausências</w:t>
            </w:r>
            <w:r w:rsidRPr="00295A64">
              <w:rPr>
                <w:rFonts w:ascii="Arial" w:hAnsi="Arial" w:cs="Arial"/>
                <w:lang w:eastAsia="pt-BR"/>
              </w:rPr>
              <w:t xml:space="preserve"> (</w:t>
            </w:r>
            <w:r w:rsidR="00DD1873">
              <w:rPr>
                <w:rFonts w:ascii="Arial" w:hAnsi="Arial" w:cs="Arial"/>
                <w:lang w:eastAsia="pt-BR"/>
              </w:rPr>
              <w:t>2</w:t>
            </w:r>
            <w:r w:rsidRPr="00295A64">
              <w:rPr>
                <w:rFonts w:ascii="Arial" w:hAnsi="Arial" w:cs="Arial"/>
                <w:lang w:eastAsia="pt-BR"/>
              </w:rPr>
              <w:t xml:space="preserve">) </w:t>
            </w:r>
            <w:r w:rsidRPr="00295A64">
              <w:rPr>
                <w:rFonts w:ascii="Arial" w:hAnsi="Arial" w:cs="Arial"/>
                <w:b/>
                <w:lang w:eastAsia="pt-BR"/>
              </w:rPr>
              <w:t xml:space="preserve">Total </w:t>
            </w:r>
            <w:r w:rsidRPr="00295A64">
              <w:rPr>
                <w:rFonts w:ascii="Arial" w:hAnsi="Arial" w:cs="Arial"/>
                <w:lang w:eastAsia="pt-BR"/>
              </w:rPr>
              <w:t xml:space="preserve">(5) </w:t>
            </w:r>
          </w:p>
          <w:p w:rsidR="00820142" w:rsidRPr="00295A64" w:rsidRDefault="00820142" w:rsidP="00106815">
            <w:pPr>
              <w:rPr>
                <w:rFonts w:ascii="Arial" w:hAnsi="Arial" w:cs="Arial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Ocorrências</w:t>
            </w:r>
            <w:r w:rsidRPr="00295A64">
              <w:rPr>
                <w:rFonts w:ascii="Arial" w:hAnsi="Arial" w:cs="Arial"/>
                <w:lang w:eastAsia="pt-BR"/>
              </w:rPr>
              <w:t xml:space="preserve">: Sem ocorrências </w:t>
            </w:r>
          </w:p>
          <w:p w:rsidR="00820142" w:rsidRPr="00295A64" w:rsidRDefault="00820142" w:rsidP="00106815">
            <w:pPr>
              <w:rPr>
                <w:rFonts w:ascii="Arial" w:hAnsi="Arial" w:cs="Arial"/>
              </w:rPr>
            </w:pPr>
            <w:r w:rsidRPr="00295A64">
              <w:rPr>
                <w:rFonts w:ascii="Arial" w:hAnsi="Arial" w:cs="Arial"/>
                <w:b/>
                <w:bCs/>
                <w:lang w:eastAsia="pt-BR"/>
              </w:rPr>
              <w:t xml:space="preserve">Assessoria Técnica: </w:t>
            </w:r>
            <w:r w:rsidRPr="00295A64">
              <w:rPr>
                <w:rFonts w:ascii="Arial" w:hAnsi="Arial" w:cs="Arial"/>
                <w:bCs/>
                <w:lang w:eastAsia="pt-BR"/>
              </w:rPr>
              <w:t>Francine Claudia Kosciuv</w:t>
            </w:r>
            <w:r w:rsidRPr="00295A64">
              <w:rPr>
                <w:rFonts w:ascii="Arial" w:hAnsi="Arial" w:cs="Arial"/>
                <w:lang w:eastAsia="pt-BR"/>
              </w:rPr>
              <w:t xml:space="preserve">                     </w:t>
            </w:r>
          </w:p>
        </w:tc>
      </w:tr>
    </w:tbl>
    <w:p w:rsidR="00D74742" w:rsidRPr="00295A64" w:rsidRDefault="00D74742" w:rsidP="0082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sectPr w:rsidR="00D74742" w:rsidRPr="00295A64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78" w:rsidRDefault="00731878" w:rsidP="006C2169">
      <w:pPr>
        <w:spacing w:after="0" w:line="240" w:lineRule="auto"/>
      </w:pPr>
      <w:r>
        <w:separator/>
      </w:r>
    </w:p>
  </w:endnote>
  <w:endnote w:type="continuationSeparator" w:id="0">
    <w:p w:rsidR="00731878" w:rsidRDefault="00731878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78" w:rsidRDefault="00731878" w:rsidP="006C2169">
      <w:pPr>
        <w:spacing w:after="0" w:line="240" w:lineRule="auto"/>
      </w:pPr>
      <w:r>
        <w:separator/>
      </w:r>
    </w:p>
  </w:footnote>
  <w:footnote w:type="continuationSeparator" w:id="0">
    <w:p w:rsidR="00731878" w:rsidRDefault="00731878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C7DCD"/>
    <w:multiLevelType w:val="hybridMultilevel"/>
    <w:tmpl w:val="C9FC6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342"/>
    <w:rsid w:val="00006F89"/>
    <w:rsid w:val="000214D6"/>
    <w:rsid w:val="00023DF8"/>
    <w:rsid w:val="00036783"/>
    <w:rsid w:val="00062420"/>
    <w:rsid w:val="00062972"/>
    <w:rsid w:val="000666AE"/>
    <w:rsid w:val="00067ABA"/>
    <w:rsid w:val="00072AE8"/>
    <w:rsid w:val="0007485C"/>
    <w:rsid w:val="000848F9"/>
    <w:rsid w:val="000D2CE8"/>
    <w:rsid w:val="000D7313"/>
    <w:rsid w:val="000E5D9A"/>
    <w:rsid w:val="000F20F1"/>
    <w:rsid w:val="0011392C"/>
    <w:rsid w:val="001148B5"/>
    <w:rsid w:val="00126F75"/>
    <w:rsid w:val="00152BEE"/>
    <w:rsid w:val="001772BE"/>
    <w:rsid w:val="00187987"/>
    <w:rsid w:val="00190649"/>
    <w:rsid w:val="001A1DA6"/>
    <w:rsid w:val="001B0B25"/>
    <w:rsid w:val="001B66EA"/>
    <w:rsid w:val="001B75EA"/>
    <w:rsid w:val="001C2F28"/>
    <w:rsid w:val="001E4704"/>
    <w:rsid w:val="001E602F"/>
    <w:rsid w:val="002047C4"/>
    <w:rsid w:val="002077DB"/>
    <w:rsid w:val="00210AF9"/>
    <w:rsid w:val="00216C80"/>
    <w:rsid w:val="002222E8"/>
    <w:rsid w:val="00225BE8"/>
    <w:rsid w:val="0022648C"/>
    <w:rsid w:val="002279C1"/>
    <w:rsid w:val="0025392D"/>
    <w:rsid w:val="00271978"/>
    <w:rsid w:val="00295A64"/>
    <w:rsid w:val="00297C37"/>
    <w:rsid w:val="002A63F5"/>
    <w:rsid w:val="002D1485"/>
    <w:rsid w:val="002D7437"/>
    <w:rsid w:val="002E186A"/>
    <w:rsid w:val="002F062D"/>
    <w:rsid w:val="00334AEF"/>
    <w:rsid w:val="0034088D"/>
    <w:rsid w:val="00342FA7"/>
    <w:rsid w:val="00351F1E"/>
    <w:rsid w:val="00366E02"/>
    <w:rsid w:val="00393092"/>
    <w:rsid w:val="003B59BA"/>
    <w:rsid w:val="003B5D40"/>
    <w:rsid w:val="003C45D8"/>
    <w:rsid w:val="003E35B4"/>
    <w:rsid w:val="003F0D9D"/>
    <w:rsid w:val="003F4F60"/>
    <w:rsid w:val="003F6366"/>
    <w:rsid w:val="00404589"/>
    <w:rsid w:val="0042090E"/>
    <w:rsid w:val="00436C6E"/>
    <w:rsid w:val="00461AC3"/>
    <w:rsid w:val="00473768"/>
    <w:rsid w:val="00474CF4"/>
    <w:rsid w:val="004814EA"/>
    <w:rsid w:val="00493F23"/>
    <w:rsid w:val="00494B68"/>
    <w:rsid w:val="004A0777"/>
    <w:rsid w:val="004A0BFD"/>
    <w:rsid w:val="004A3952"/>
    <w:rsid w:val="004B191F"/>
    <w:rsid w:val="004B3F82"/>
    <w:rsid w:val="004C4166"/>
    <w:rsid w:val="004D0D10"/>
    <w:rsid w:val="004E005B"/>
    <w:rsid w:val="00501850"/>
    <w:rsid w:val="00506BCF"/>
    <w:rsid w:val="0050748A"/>
    <w:rsid w:val="00525FE6"/>
    <w:rsid w:val="005265C0"/>
    <w:rsid w:val="00554059"/>
    <w:rsid w:val="005818EB"/>
    <w:rsid w:val="0058708E"/>
    <w:rsid w:val="005B48EA"/>
    <w:rsid w:val="005C3CFB"/>
    <w:rsid w:val="005C558D"/>
    <w:rsid w:val="005D2F14"/>
    <w:rsid w:val="005E6E5C"/>
    <w:rsid w:val="00615726"/>
    <w:rsid w:val="006504F3"/>
    <w:rsid w:val="00674522"/>
    <w:rsid w:val="00677FB5"/>
    <w:rsid w:val="006A22F0"/>
    <w:rsid w:val="006A759A"/>
    <w:rsid w:val="006B1749"/>
    <w:rsid w:val="006B4977"/>
    <w:rsid w:val="006C2169"/>
    <w:rsid w:val="006E0F75"/>
    <w:rsid w:val="007009CB"/>
    <w:rsid w:val="007071A9"/>
    <w:rsid w:val="00731878"/>
    <w:rsid w:val="00752F3E"/>
    <w:rsid w:val="0078148B"/>
    <w:rsid w:val="007865FC"/>
    <w:rsid w:val="007C1833"/>
    <w:rsid w:val="007C47B6"/>
    <w:rsid w:val="00802C43"/>
    <w:rsid w:val="008165CE"/>
    <w:rsid w:val="00820142"/>
    <w:rsid w:val="0083185A"/>
    <w:rsid w:val="00863B8D"/>
    <w:rsid w:val="0086561D"/>
    <w:rsid w:val="00892771"/>
    <w:rsid w:val="008942B6"/>
    <w:rsid w:val="00895855"/>
    <w:rsid w:val="008970ED"/>
    <w:rsid w:val="008B2B79"/>
    <w:rsid w:val="008D1438"/>
    <w:rsid w:val="008F7D4D"/>
    <w:rsid w:val="00900428"/>
    <w:rsid w:val="00906F6C"/>
    <w:rsid w:val="009458FA"/>
    <w:rsid w:val="009640B0"/>
    <w:rsid w:val="00964D07"/>
    <w:rsid w:val="009773D2"/>
    <w:rsid w:val="00984E7C"/>
    <w:rsid w:val="00996224"/>
    <w:rsid w:val="00997C42"/>
    <w:rsid w:val="009A0601"/>
    <w:rsid w:val="009A593A"/>
    <w:rsid w:val="009D455C"/>
    <w:rsid w:val="009F3AE6"/>
    <w:rsid w:val="00A0223A"/>
    <w:rsid w:val="00A17E5B"/>
    <w:rsid w:val="00A313C2"/>
    <w:rsid w:val="00A34C3C"/>
    <w:rsid w:val="00A35575"/>
    <w:rsid w:val="00A556E8"/>
    <w:rsid w:val="00A55D4B"/>
    <w:rsid w:val="00A772CD"/>
    <w:rsid w:val="00A81583"/>
    <w:rsid w:val="00A838D9"/>
    <w:rsid w:val="00A84AF9"/>
    <w:rsid w:val="00A863E8"/>
    <w:rsid w:val="00A8644C"/>
    <w:rsid w:val="00A905D2"/>
    <w:rsid w:val="00A939F3"/>
    <w:rsid w:val="00A97F57"/>
    <w:rsid w:val="00AA4F1A"/>
    <w:rsid w:val="00AB1C2D"/>
    <w:rsid w:val="00AB4485"/>
    <w:rsid w:val="00AC0CD7"/>
    <w:rsid w:val="00AC5D87"/>
    <w:rsid w:val="00AD01DB"/>
    <w:rsid w:val="00AD0CCA"/>
    <w:rsid w:val="00AD5C42"/>
    <w:rsid w:val="00AE6511"/>
    <w:rsid w:val="00AF317A"/>
    <w:rsid w:val="00B04D83"/>
    <w:rsid w:val="00B06688"/>
    <w:rsid w:val="00B070F0"/>
    <w:rsid w:val="00B13501"/>
    <w:rsid w:val="00B16A3A"/>
    <w:rsid w:val="00B209A8"/>
    <w:rsid w:val="00B52591"/>
    <w:rsid w:val="00B544FB"/>
    <w:rsid w:val="00B546A2"/>
    <w:rsid w:val="00B60E5E"/>
    <w:rsid w:val="00B6339E"/>
    <w:rsid w:val="00B6365E"/>
    <w:rsid w:val="00B639B0"/>
    <w:rsid w:val="00B7183D"/>
    <w:rsid w:val="00B748A5"/>
    <w:rsid w:val="00B935B5"/>
    <w:rsid w:val="00B953A3"/>
    <w:rsid w:val="00B95AB9"/>
    <w:rsid w:val="00B964EC"/>
    <w:rsid w:val="00BA0D6A"/>
    <w:rsid w:val="00BA110E"/>
    <w:rsid w:val="00BA77F2"/>
    <w:rsid w:val="00BB0610"/>
    <w:rsid w:val="00BB5081"/>
    <w:rsid w:val="00BD15FE"/>
    <w:rsid w:val="00BE3ECC"/>
    <w:rsid w:val="00BF15E1"/>
    <w:rsid w:val="00C00025"/>
    <w:rsid w:val="00C14A2D"/>
    <w:rsid w:val="00C2016F"/>
    <w:rsid w:val="00C258EC"/>
    <w:rsid w:val="00C30749"/>
    <w:rsid w:val="00C407E4"/>
    <w:rsid w:val="00C40CD0"/>
    <w:rsid w:val="00C41EBD"/>
    <w:rsid w:val="00C82F5E"/>
    <w:rsid w:val="00C90CAD"/>
    <w:rsid w:val="00C97333"/>
    <w:rsid w:val="00CA47C6"/>
    <w:rsid w:val="00CB14F8"/>
    <w:rsid w:val="00D04AF6"/>
    <w:rsid w:val="00D1796F"/>
    <w:rsid w:val="00D3715F"/>
    <w:rsid w:val="00D545BB"/>
    <w:rsid w:val="00D56F81"/>
    <w:rsid w:val="00D72050"/>
    <w:rsid w:val="00D74742"/>
    <w:rsid w:val="00DA3D9A"/>
    <w:rsid w:val="00DB11A9"/>
    <w:rsid w:val="00DD0107"/>
    <w:rsid w:val="00DD1873"/>
    <w:rsid w:val="00DD495A"/>
    <w:rsid w:val="00DE4BBA"/>
    <w:rsid w:val="00DE78DD"/>
    <w:rsid w:val="00DF63B7"/>
    <w:rsid w:val="00E117C6"/>
    <w:rsid w:val="00E17BEE"/>
    <w:rsid w:val="00E37170"/>
    <w:rsid w:val="00E409C4"/>
    <w:rsid w:val="00E45DE6"/>
    <w:rsid w:val="00E47B34"/>
    <w:rsid w:val="00E6278D"/>
    <w:rsid w:val="00E669CE"/>
    <w:rsid w:val="00E71DF3"/>
    <w:rsid w:val="00E72EFD"/>
    <w:rsid w:val="00E7731F"/>
    <w:rsid w:val="00E81E4D"/>
    <w:rsid w:val="00E946B4"/>
    <w:rsid w:val="00EC6551"/>
    <w:rsid w:val="00ED367A"/>
    <w:rsid w:val="00ED599A"/>
    <w:rsid w:val="00ED599B"/>
    <w:rsid w:val="00EE239C"/>
    <w:rsid w:val="00EE2408"/>
    <w:rsid w:val="00EE55BC"/>
    <w:rsid w:val="00EF11E0"/>
    <w:rsid w:val="00EF3536"/>
    <w:rsid w:val="00EF40AA"/>
    <w:rsid w:val="00F05A64"/>
    <w:rsid w:val="00F17BFF"/>
    <w:rsid w:val="00F334B7"/>
    <w:rsid w:val="00F35DF3"/>
    <w:rsid w:val="00F72058"/>
    <w:rsid w:val="00F95794"/>
    <w:rsid w:val="00FA2E68"/>
    <w:rsid w:val="00FA510A"/>
    <w:rsid w:val="00FC2BCA"/>
    <w:rsid w:val="00FD744D"/>
    <w:rsid w:val="00FE1F43"/>
    <w:rsid w:val="00FF108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CAB6-AD7B-417F-953D-119EADC2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4</cp:revision>
  <cp:lastPrinted>2018-07-30T21:05:00Z</cp:lastPrinted>
  <dcterms:created xsi:type="dcterms:W3CDTF">2020-08-28T02:32:00Z</dcterms:created>
  <dcterms:modified xsi:type="dcterms:W3CDTF">2020-08-28T17:18:00Z</dcterms:modified>
</cp:coreProperties>
</file>