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EB68C2" w:rsidRDefault="00DB11A9" w:rsidP="000F63AC">
      <w:pPr>
        <w:jc w:val="center"/>
        <w:rPr>
          <w:rFonts w:ascii="Arial" w:hAnsi="Arial" w:cs="Arial"/>
          <w:b/>
          <w:bCs/>
          <w:u w:val="single"/>
        </w:rPr>
      </w:pPr>
      <w:r w:rsidRPr="00EB68C2">
        <w:rPr>
          <w:rFonts w:ascii="Arial" w:hAnsi="Arial" w:cs="Arial"/>
          <w:b/>
          <w:bCs/>
          <w:u w:val="single"/>
        </w:rPr>
        <w:t>DELIBERAÇÃO DE COMISSÃO</w:t>
      </w:r>
    </w:p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2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68C2" w:rsidRPr="00D74742" w:rsidRDefault="00EB68C2" w:rsidP="00EB68C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68C2" w:rsidRPr="00EB68C2" w:rsidRDefault="00EB68C2" w:rsidP="00327A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8C2">
              <w:rPr>
                <w:rFonts w:ascii="Arial" w:hAnsi="Arial" w:cs="Arial"/>
                <w:b/>
                <w:sz w:val="20"/>
                <w:szCs w:val="20"/>
              </w:rPr>
              <w:t xml:space="preserve">CHAPAS COM REGISTRO CONCLUÍDO PARA AS ELEIÇÕES 2020 DO CAU, NO ÂMBITO DO ESTADO </w:t>
            </w:r>
            <w:r w:rsidR="00327A60">
              <w:rPr>
                <w:rFonts w:ascii="Arial" w:hAnsi="Arial" w:cs="Arial"/>
                <w:b/>
                <w:sz w:val="20"/>
                <w:szCs w:val="20"/>
              </w:rPr>
              <w:t>DO PARANÁ.</w:t>
            </w:r>
            <w:r w:rsidRPr="00EB6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B68C2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68C2" w:rsidRPr="00D74742" w:rsidRDefault="00EB68C2" w:rsidP="00EB68C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68C2" w:rsidRPr="00EB68C2" w:rsidRDefault="00EB68C2" w:rsidP="00EB68C2">
            <w:pPr>
              <w:jc w:val="both"/>
              <w:rPr>
                <w:rFonts w:ascii="Arial" w:hAnsi="Arial" w:cs="Arial"/>
                <w:b/>
              </w:rPr>
            </w:pPr>
            <w:r w:rsidRPr="00EB68C2">
              <w:rPr>
                <w:rFonts w:ascii="Arial" w:hAnsi="Arial" w:cs="Arial"/>
                <w:b/>
                <w:sz w:val="20"/>
                <w:szCs w:val="20"/>
              </w:rPr>
              <w:t>JULGAMENTO DOS PEDIDOS DE REGISTRO DE CANDIDATURA DE CONSELHEIROS TITULARES E RESPECTIVOS SUPLENTES DE CONSELHEIRO</w:t>
            </w:r>
            <w:r w:rsidRPr="00EB68C2">
              <w:rPr>
                <w:rFonts w:ascii="Arial" w:hAnsi="Arial" w:cs="Arial"/>
                <w:b/>
              </w:rPr>
              <w:t xml:space="preserve"> </w:t>
            </w:r>
            <w:r w:rsidRPr="00EB68C2">
              <w:rPr>
                <w:rFonts w:ascii="Arial" w:hAnsi="Arial" w:cs="Arial"/>
                <w:b/>
                <w:sz w:val="20"/>
                <w:szCs w:val="20"/>
              </w:rPr>
              <w:t>DO CAU/BR E DO CAU/PR NAS ELEIÇÕES 2020 DO CAU.</w:t>
            </w:r>
          </w:p>
        </w:tc>
      </w:tr>
    </w:tbl>
    <w:p w:rsidR="00A556E8" w:rsidRPr="00D747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494B68">
        <w:rPr>
          <w:rFonts w:ascii="Times New Roman" w:eastAsia="Times New Roman" w:hAnsi="Times New Roman" w:cs="Times New Roman"/>
          <w:b/>
          <w:smallCaps/>
          <w:lang w:eastAsia="pt-BR"/>
        </w:rPr>
        <w:t>0</w:t>
      </w:r>
      <w:r w:rsidR="00223F73">
        <w:rPr>
          <w:rFonts w:ascii="Times New Roman" w:eastAsia="Times New Roman" w:hAnsi="Times New Roman" w:cs="Times New Roman"/>
          <w:b/>
          <w:smallCaps/>
          <w:lang w:eastAsia="pt-BR"/>
        </w:rPr>
        <w:t>8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417DA2" w:rsidRDefault="00417DA2" w:rsidP="00417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ordinariamente </w:t>
      </w:r>
      <w:r w:rsidR="00EB68C2">
        <w:rPr>
          <w:rFonts w:ascii="Times New Roman" w:hAnsi="Times New Roman" w:cs="Times New Roman"/>
          <w:sz w:val="24"/>
          <w:szCs w:val="24"/>
        </w:rPr>
        <w:t>por videoconferência</w:t>
      </w:r>
      <w:r>
        <w:rPr>
          <w:rFonts w:ascii="Times New Roman" w:hAnsi="Times New Roman" w:cs="Times New Roman"/>
          <w:sz w:val="24"/>
          <w:szCs w:val="24"/>
        </w:rPr>
        <w:t xml:space="preserve"> ás 14h</w:t>
      </w:r>
      <w:r w:rsidR="006236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dia 1</w:t>
      </w:r>
      <w:r w:rsidR="00EB68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236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417DA2" w:rsidRDefault="00417DA2" w:rsidP="00417DA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o Regulamento Eleitoral, que em seu art. 55 estabelece que as CE-UF julgarão os pedidos de substituição voluntária de candidato, os pedidos de impugnação de registro de candidatura de chapa e os pedidos de registro de candidatura de chapa, no prazo estabelecido no Calendário eleitoral;</w:t>
      </w:r>
    </w:p>
    <w:p w:rsidR="00135D90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a Deliberação Plenária do CAU/BR, DPOBR n. 0094-09/2019, que aprova o Calendário Eleitoral das Eleições 2020 do CAU e estabelece a data limite do dia 11 de setembro de 2020 para realização dos julgamentos dos pedidos de que trata o art. 55 do Regulamento Eleitoral;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Deliberação CEN-CAU/BR n</w:t>
      </w:r>
      <w:r w:rsidR="00643A9E">
        <w:rPr>
          <w:rFonts w:ascii="Arial" w:hAnsi="Arial" w:cs="Arial"/>
        </w:rPr>
        <w:t>°</w:t>
      </w:r>
      <w:r w:rsidR="00E83C36">
        <w:rPr>
          <w:rFonts w:ascii="Arial" w:hAnsi="Arial" w:cs="Arial"/>
        </w:rPr>
        <w:t xml:space="preserve"> 035/2019</w:t>
      </w:r>
      <w:r>
        <w:rPr>
          <w:rFonts w:ascii="Arial" w:hAnsi="Arial" w:cs="Arial"/>
        </w:rPr>
        <w:t xml:space="preserve">, que aprova </w:t>
      </w:r>
      <w:r w:rsidRPr="00AE4B02">
        <w:rPr>
          <w:rFonts w:ascii="Arial" w:hAnsi="Arial" w:cs="Arial"/>
        </w:rPr>
        <w:t xml:space="preserve">modelos de divulgações referente </w:t>
      </w:r>
      <w:r w:rsidR="00956D7A">
        <w:rPr>
          <w:rFonts w:ascii="Arial" w:hAnsi="Arial" w:cs="Arial"/>
        </w:rPr>
        <w:t>a</w:t>
      </w:r>
      <w:r>
        <w:rPr>
          <w:rFonts w:ascii="Arial" w:hAnsi="Arial" w:cs="Arial"/>
        </w:rPr>
        <w:t>o</w:t>
      </w:r>
      <w:r w:rsidRPr="00AE4B02">
        <w:rPr>
          <w:rFonts w:ascii="Arial" w:hAnsi="Arial" w:cs="Arial"/>
        </w:rPr>
        <w:t xml:space="preserve"> pedido de registro de candidatura nas eleições do </w:t>
      </w:r>
      <w:r>
        <w:rPr>
          <w:rFonts w:ascii="Arial" w:hAnsi="Arial" w:cs="Arial"/>
        </w:rPr>
        <w:t>CAU;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que, em consulta ao Sistema Eleitoral Nacional (</w:t>
      </w:r>
      <w:proofErr w:type="spellStart"/>
      <w:r w:rsidRPr="00AE4B02"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), não foram identificados pedidos de substituição voluntária de candidato cadastrados nas Eleições 2020</w:t>
      </w:r>
      <w:r w:rsidR="00E83C36">
        <w:rPr>
          <w:rFonts w:ascii="Arial" w:hAnsi="Arial" w:cs="Arial"/>
        </w:rPr>
        <w:t xml:space="preserve"> do CAU, no âmbito do Estado do Paraná</w:t>
      </w:r>
      <w:r w:rsidRPr="00AE4B02">
        <w:rPr>
          <w:rFonts w:ascii="Arial" w:hAnsi="Arial" w:cs="Arial"/>
        </w:rPr>
        <w:t xml:space="preserve">; 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o Regulamento Eleitoral, que em seu art. 58 estabelece critérios para o julgamento dos pedidos de registro de candidatura de chapa, conforme disposto: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>Art. 58. O julgamento dos pedidos de registro de candidatura de chapa deverá observar: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 xml:space="preserve">I – </w:t>
      </w:r>
      <w:proofErr w:type="gramStart"/>
      <w:r w:rsidRPr="0043081E">
        <w:rPr>
          <w:rFonts w:ascii="Arial" w:hAnsi="Arial" w:cs="Arial"/>
          <w:i/>
          <w:iCs/>
          <w:sz w:val="20"/>
          <w:szCs w:val="20"/>
        </w:rPr>
        <w:t>o</w:t>
      </w:r>
      <w:proofErr w:type="gramEnd"/>
      <w:r w:rsidRPr="0043081E">
        <w:rPr>
          <w:rFonts w:ascii="Arial" w:hAnsi="Arial" w:cs="Arial"/>
          <w:i/>
          <w:iCs/>
          <w:sz w:val="20"/>
          <w:szCs w:val="20"/>
        </w:rPr>
        <w:t xml:space="preserve"> atendimento das disposições previstas no art. 17;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 xml:space="preserve">II – o atendimento das condições de elegibilidade e a não incidência das causas de inelegibilidade previstas nos </w:t>
      </w:r>
      <w:proofErr w:type="spellStart"/>
      <w:r w:rsidRPr="0043081E">
        <w:rPr>
          <w:rFonts w:ascii="Arial" w:hAnsi="Arial" w:cs="Arial"/>
          <w:i/>
          <w:iCs/>
          <w:sz w:val="20"/>
          <w:szCs w:val="20"/>
        </w:rPr>
        <w:t>arts</w:t>
      </w:r>
      <w:proofErr w:type="spellEnd"/>
      <w:r w:rsidRPr="0043081E">
        <w:rPr>
          <w:rFonts w:ascii="Arial" w:hAnsi="Arial" w:cs="Arial"/>
          <w:i/>
          <w:iCs/>
          <w:sz w:val="20"/>
          <w:szCs w:val="20"/>
        </w:rPr>
        <w:t>. 18 a 20, conforme o caso, aferidas no momento da conclusão do pedido de registro da candidatura;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>III – a conclusão do pedido de registro de candidatura no prazo estabelecido no Calendário eleitoral.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lastRenderedPageBreak/>
        <w:t>§ 1º Caso o pedido de registro de candidatura de chapa seja indeferido, a CEN-CAU/BR ou CE-UF, conforme o caso, determinará à chapa a substituição do candidato declarado irregular, no mesmo prazo estabelecido no Calendário eleitoral para interposição de recurso.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>§ 2º A não substituição de candidato determinada no § 1º acompanhada da não interposição de recurso contra decisão de indeferimento do pedido de registro de candidatura acarretará o indeferimento definitivo da chapa.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>§ 3º O processo em tramitação, sem decisão de julgamento transitada em julgado, que possa acarretar a incidência de inelegibilidade de candidato não dará causa ao indeferimento de sua participação nas eleições nem ao indeferimento do pedido de registro de candidatura da respectiva chapa.</w:t>
      </w:r>
    </w:p>
    <w:p w:rsidR="00135D90" w:rsidRPr="0043081E" w:rsidRDefault="00135D90" w:rsidP="00135D90">
      <w:pPr>
        <w:suppressLineNumbers/>
        <w:spacing w:before="120" w:after="120" w:line="300" w:lineRule="auto"/>
        <w:ind w:left="1560"/>
        <w:jc w:val="both"/>
        <w:rPr>
          <w:rFonts w:ascii="Arial" w:hAnsi="Arial" w:cs="Arial"/>
          <w:i/>
          <w:iCs/>
          <w:sz w:val="20"/>
          <w:szCs w:val="20"/>
        </w:rPr>
      </w:pPr>
      <w:r w:rsidRPr="0043081E">
        <w:rPr>
          <w:rFonts w:ascii="Arial" w:hAnsi="Arial" w:cs="Arial"/>
          <w:i/>
          <w:iCs/>
          <w:sz w:val="20"/>
          <w:szCs w:val="20"/>
        </w:rPr>
        <w:t>§ 4º Na hipótese do § 3º, sobrevindo o trânsito em julgado de decisão de julgamento do processo que declare a culpa do candidato, esse terá sua participação nas eleições declarada nula com as consequentes cassações do diploma, caso expedido, e do mandato, caso empossado, sem prejuízo para o registro de candidatura da respectiva chapa.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 xml:space="preserve">Considerando que as verificações quanto ao atendimento das condições do art. 17 do Regulamento Eleitoral foram realizadas automaticamente pelo </w:t>
      </w:r>
      <w:proofErr w:type="spellStart"/>
      <w:r w:rsidRPr="00AE4B02"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, ao longo do processo de Registro de Candidaturas, tendo sido considerados como concluídos apenas os registros das chapas cujos candidatos cumpriram rigorosamente o disposto no referido dispositivo da norma;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 xml:space="preserve">Considerando que as verificações quanto ao atendimento das condições dos incisos I e II do art. 18 do Regulamento Eleitoral também foram realizadas automaticamente pelo </w:t>
      </w:r>
      <w:proofErr w:type="spellStart"/>
      <w:r w:rsidRPr="00AE4B02"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, ao longo do processo de Registro de Candidaturas, tendo sido considerados como concluídos apenas os registros das chapas cujos candidatos cumpriram rigorosamente o disposto nos referidos dispositivos da norma;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 xml:space="preserve">Considerando que todos os candidatos, no ato do aceite para participação em suas respectivas chapas, por meio de ato declaratório em formulário específico no ambiente eleitoral do </w:t>
      </w:r>
      <w:proofErr w:type="spellStart"/>
      <w:r w:rsidRPr="00AE4B02"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, declararam estar em pleno gozo dos direitos civis, conforme legislação vigente e em atendimento ao inciso III do art. 18 do Regulamento Eleitoral;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não se aplicar ao julgamento em questão as disposições do art. 19 do Regulamento Eleitoral, uma vez que se referem aos critérios de elegibilidade dos candidatos a conselheiro titular e suplente de conselheiro representantes das Instituições de Ensino Superior de Arquitetura e Urbanismo;</w:t>
      </w:r>
    </w:p>
    <w:p w:rsidR="00135D90" w:rsidRPr="00AE4B02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 xml:space="preserve">Considerando que todos os candidatos, no ato do aceite para participação em suas respectivas chapas, por meio de ato declaratório em formulário específico no ambiente eleitoral do </w:t>
      </w:r>
      <w:proofErr w:type="spellStart"/>
      <w:r w:rsidRPr="00AE4B02"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, declararam ter ciência do Regulamento Eleitoral, inclusive sobr</w:t>
      </w:r>
      <w:r w:rsidR="00956D7A">
        <w:rPr>
          <w:rFonts w:ascii="Arial" w:hAnsi="Arial" w:cs="Arial"/>
        </w:rPr>
        <w:t xml:space="preserve">e </w:t>
      </w:r>
      <w:r w:rsidRPr="00AE4B02">
        <w:rPr>
          <w:rFonts w:ascii="Arial" w:hAnsi="Arial" w:cs="Arial"/>
        </w:rPr>
        <w:t>o disposto no art. 20 deste normativo, que trata sobre as condições de inelegibilidade;</w:t>
      </w:r>
    </w:p>
    <w:p w:rsidR="00135D90" w:rsidRDefault="00135D90" w:rsidP="00135D90">
      <w:pPr>
        <w:suppressLineNumbers/>
        <w:spacing w:before="120" w:after="120" w:line="300" w:lineRule="auto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>Considerando ainda a inexistência</w:t>
      </w:r>
      <w:r>
        <w:rPr>
          <w:rFonts w:ascii="Arial" w:hAnsi="Arial" w:cs="Arial"/>
        </w:rPr>
        <w:t xml:space="preserve"> de</w:t>
      </w:r>
      <w:r w:rsidRPr="00AE4B02">
        <w:rPr>
          <w:rFonts w:ascii="Arial" w:hAnsi="Arial" w:cs="Arial"/>
        </w:rPr>
        <w:t xml:space="preserve"> disposição ou determinação com previsão de atuação ativa das </w:t>
      </w:r>
      <w:proofErr w:type="spellStart"/>
      <w:r w:rsidRPr="00AE4B02">
        <w:rPr>
          <w:rFonts w:ascii="Arial" w:hAnsi="Arial" w:cs="Arial"/>
        </w:rPr>
        <w:t>CE-UFs</w:t>
      </w:r>
      <w:proofErr w:type="spellEnd"/>
      <w:r w:rsidRPr="00AE4B02">
        <w:rPr>
          <w:rFonts w:ascii="Arial" w:hAnsi="Arial" w:cs="Arial"/>
        </w:rPr>
        <w:t xml:space="preserve"> na fiscalização das chapas e candidatos no processo eleitoral, do </w:t>
      </w:r>
      <w:r w:rsidRPr="00AE4B02">
        <w:rPr>
          <w:rFonts w:ascii="Arial" w:hAnsi="Arial" w:cs="Arial"/>
        </w:rPr>
        <w:lastRenderedPageBreak/>
        <w:t>que se depreende como verdadeiras a assunção das condições de elegibilidade mediante os atos declaratórios</w:t>
      </w:r>
      <w:r>
        <w:rPr>
          <w:rFonts w:ascii="Arial" w:hAnsi="Arial" w:cs="Arial"/>
        </w:rPr>
        <w:t xml:space="preserve"> procedidos pelos</w:t>
      </w:r>
      <w:r w:rsidRPr="00AE4B02">
        <w:rPr>
          <w:rFonts w:ascii="Arial" w:hAnsi="Arial" w:cs="Arial"/>
        </w:rPr>
        <w:t xml:space="preserve"> candidatos a conselheiros e suplentes de conselheiros nas Eleições 2020 do CAU</w:t>
      </w:r>
      <w:r>
        <w:rPr>
          <w:rFonts w:ascii="Arial" w:hAnsi="Arial" w:cs="Arial"/>
        </w:rPr>
        <w:t xml:space="preserve"> na plataforma eleitoral do </w:t>
      </w:r>
      <w:proofErr w:type="spellStart"/>
      <w:r>
        <w:rPr>
          <w:rFonts w:ascii="Arial" w:hAnsi="Arial" w:cs="Arial"/>
        </w:rPr>
        <w:t>SiEN</w:t>
      </w:r>
      <w:proofErr w:type="spellEnd"/>
      <w:r w:rsidRPr="00AE4B02">
        <w:rPr>
          <w:rFonts w:ascii="Arial" w:hAnsi="Arial" w:cs="Arial"/>
        </w:rPr>
        <w:t>.</w:t>
      </w:r>
    </w:p>
    <w:p w:rsidR="00135D90" w:rsidRPr="00AE4B02" w:rsidRDefault="00135D90" w:rsidP="00135D90">
      <w:pPr>
        <w:spacing w:before="240" w:after="240" w:line="300" w:lineRule="auto"/>
        <w:jc w:val="both"/>
        <w:rPr>
          <w:rFonts w:ascii="Arial" w:hAnsi="Arial" w:cs="Arial"/>
          <w:b/>
        </w:rPr>
      </w:pPr>
      <w:r w:rsidRPr="00AE4B02">
        <w:rPr>
          <w:rFonts w:ascii="Arial" w:hAnsi="Arial" w:cs="Arial"/>
          <w:b/>
        </w:rPr>
        <w:t>DELIBEROU:</w:t>
      </w:r>
    </w:p>
    <w:p w:rsidR="00135D90" w:rsidRPr="00AE4B02" w:rsidRDefault="00914189" w:rsidP="00135D90">
      <w:pPr>
        <w:numPr>
          <w:ilvl w:val="0"/>
          <w:numId w:val="7"/>
        </w:numPr>
        <w:spacing w:before="120" w:after="120" w:line="30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135D90" w:rsidRPr="00135D90">
        <w:rPr>
          <w:rFonts w:ascii="Arial" w:hAnsi="Arial" w:cs="Arial"/>
          <w:b/>
        </w:rPr>
        <w:t>DEFERI</w:t>
      </w:r>
      <w:r>
        <w:rPr>
          <w:rFonts w:ascii="Arial" w:hAnsi="Arial" w:cs="Arial"/>
          <w:b/>
        </w:rPr>
        <w:t>R</w:t>
      </w:r>
      <w:r w:rsidR="00135D90">
        <w:rPr>
          <w:rFonts w:ascii="Arial" w:hAnsi="Arial" w:cs="Arial"/>
        </w:rPr>
        <w:t xml:space="preserve"> </w:t>
      </w:r>
      <w:r w:rsidR="00135D90" w:rsidRPr="00AE4B02">
        <w:rPr>
          <w:rFonts w:ascii="Arial" w:hAnsi="Arial" w:cs="Arial"/>
        </w:rPr>
        <w:t>os pedidos de registro de candidatura d</w:t>
      </w:r>
      <w:r w:rsidR="000C1585">
        <w:rPr>
          <w:rFonts w:ascii="Arial" w:hAnsi="Arial" w:cs="Arial"/>
        </w:rPr>
        <w:t>a</w:t>
      </w:r>
      <w:r w:rsidR="00135D90" w:rsidRPr="00AE4B02">
        <w:rPr>
          <w:rFonts w:ascii="Arial" w:hAnsi="Arial" w:cs="Arial"/>
        </w:rPr>
        <w:t xml:space="preserve"> chapa</w:t>
      </w:r>
      <w:r w:rsidR="00135D90">
        <w:rPr>
          <w:rFonts w:ascii="Arial" w:hAnsi="Arial" w:cs="Arial"/>
        </w:rPr>
        <w:t xml:space="preserve"> N° 01, e chapa </w:t>
      </w:r>
      <w:r w:rsidR="000C1585">
        <w:rPr>
          <w:rFonts w:ascii="Arial" w:hAnsi="Arial" w:cs="Arial"/>
        </w:rPr>
        <w:t>N°</w:t>
      </w:r>
      <w:r w:rsidR="00E11038">
        <w:rPr>
          <w:rFonts w:ascii="Arial" w:hAnsi="Arial" w:cs="Arial"/>
        </w:rPr>
        <w:t xml:space="preserve"> </w:t>
      </w:r>
      <w:r w:rsidR="00135D90">
        <w:rPr>
          <w:rFonts w:ascii="Arial" w:hAnsi="Arial" w:cs="Arial"/>
        </w:rPr>
        <w:t>02,</w:t>
      </w:r>
      <w:r w:rsidR="00135D90" w:rsidRPr="00AE4B02">
        <w:rPr>
          <w:rFonts w:ascii="Arial" w:hAnsi="Arial" w:cs="Arial"/>
        </w:rPr>
        <w:t xml:space="preserve"> conforme</w:t>
      </w:r>
      <w:r w:rsidR="00135D90">
        <w:rPr>
          <w:rFonts w:ascii="Arial" w:hAnsi="Arial" w:cs="Arial"/>
        </w:rPr>
        <w:t xml:space="preserve"> relatório</w:t>
      </w:r>
      <w:r w:rsidR="00135D90" w:rsidRPr="00AE4B02">
        <w:rPr>
          <w:rFonts w:ascii="Arial" w:hAnsi="Arial" w:cs="Arial"/>
        </w:rPr>
        <w:t xml:space="preserve"> </w:t>
      </w:r>
      <w:r w:rsidR="00135D90" w:rsidRPr="000C1585">
        <w:rPr>
          <w:rFonts w:ascii="Arial" w:hAnsi="Arial" w:cs="Arial"/>
          <w:u w:val="single"/>
        </w:rPr>
        <w:t>anexo à presente Deliberação</w:t>
      </w:r>
      <w:r w:rsidR="00135D90" w:rsidRPr="00AE4B02">
        <w:rPr>
          <w:rFonts w:ascii="Arial" w:hAnsi="Arial" w:cs="Arial"/>
        </w:rPr>
        <w:t xml:space="preserve">.  </w:t>
      </w:r>
    </w:p>
    <w:p w:rsidR="00135D90" w:rsidRPr="00AE4B02" w:rsidRDefault="00135D90" w:rsidP="00135D90">
      <w:pPr>
        <w:numPr>
          <w:ilvl w:val="0"/>
          <w:numId w:val="7"/>
        </w:numPr>
        <w:spacing w:before="120" w:after="120" w:line="300" w:lineRule="auto"/>
        <w:ind w:left="357" w:hanging="357"/>
        <w:jc w:val="both"/>
        <w:rPr>
          <w:rFonts w:ascii="Arial" w:hAnsi="Arial" w:cs="Arial"/>
        </w:rPr>
      </w:pPr>
      <w:r w:rsidRPr="00AE4B02">
        <w:rPr>
          <w:rFonts w:ascii="Arial" w:hAnsi="Arial" w:cs="Arial"/>
        </w:rPr>
        <w:t xml:space="preserve">Encaminhar </w:t>
      </w:r>
      <w:r>
        <w:rPr>
          <w:rFonts w:ascii="Arial" w:hAnsi="Arial" w:cs="Arial"/>
        </w:rPr>
        <w:t>esta</w:t>
      </w:r>
      <w:r w:rsidRPr="00AE4B02">
        <w:rPr>
          <w:rFonts w:ascii="Arial" w:hAnsi="Arial" w:cs="Arial"/>
        </w:rPr>
        <w:t xml:space="preserve"> Deliberação à </w:t>
      </w:r>
      <w:r w:rsidR="000C1585">
        <w:rPr>
          <w:rFonts w:ascii="Arial" w:hAnsi="Arial" w:cs="Arial"/>
        </w:rPr>
        <w:t xml:space="preserve">assessoria da comunicação </w:t>
      </w:r>
      <w:r w:rsidRPr="00AE4B02">
        <w:rPr>
          <w:rFonts w:ascii="Arial" w:hAnsi="Arial" w:cs="Arial"/>
        </w:rPr>
        <w:t>do CAU/</w:t>
      </w:r>
      <w:r>
        <w:rPr>
          <w:rFonts w:ascii="Arial" w:hAnsi="Arial" w:cs="Arial"/>
        </w:rPr>
        <w:t>PR</w:t>
      </w:r>
      <w:r w:rsidRPr="00AE4B02">
        <w:rPr>
          <w:rFonts w:ascii="Arial" w:hAnsi="Arial" w:cs="Arial"/>
        </w:rPr>
        <w:t xml:space="preserve">, para providências </w:t>
      </w:r>
      <w:r>
        <w:rPr>
          <w:rFonts w:ascii="Arial" w:hAnsi="Arial" w:cs="Arial"/>
        </w:rPr>
        <w:t>quanto à</w:t>
      </w:r>
      <w:r w:rsidRPr="00AE4B02">
        <w:rPr>
          <w:rFonts w:ascii="Arial" w:hAnsi="Arial" w:cs="Arial"/>
        </w:rPr>
        <w:t xml:space="preserve"> sua publicação n</w:t>
      </w:r>
      <w:r>
        <w:rPr>
          <w:rFonts w:ascii="Arial" w:hAnsi="Arial" w:cs="Arial"/>
        </w:rPr>
        <w:t>a página eleitoral, no sítio eletrônico do</w:t>
      </w:r>
      <w:r w:rsidRPr="00AE4B02">
        <w:rPr>
          <w:rFonts w:ascii="Arial" w:hAnsi="Arial" w:cs="Arial"/>
        </w:rPr>
        <w:t xml:space="preserve"> CAU/</w:t>
      </w:r>
      <w:r>
        <w:rPr>
          <w:rFonts w:ascii="Arial" w:hAnsi="Arial" w:cs="Arial"/>
        </w:rPr>
        <w:t>PR</w:t>
      </w:r>
      <w:r w:rsidRPr="00AE4B02">
        <w:rPr>
          <w:rFonts w:ascii="Arial" w:hAnsi="Arial" w:cs="Arial"/>
        </w:rPr>
        <w:t>.</w:t>
      </w:r>
    </w:p>
    <w:p w:rsidR="00F53E18" w:rsidRDefault="00F53E18" w:rsidP="00417DA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no sistema, através do relatório extraído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135D90">
        <w:rPr>
          <w:rFonts w:ascii="Times New Roman" w:hAnsi="Times New Roman" w:cs="Times New Roman"/>
          <w:sz w:val="24"/>
          <w:szCs w:val="24"/>
        </w:rPr>
        <w:t xml:space="preserve"> na data de 10/09/2020</w:t>
      </w:r>
      <w:r w:rsidR="005E22C0">
        <w:rPr>
          <w:rFonts w:ascii="Times New Roman" w:hAnsi="Times New Roman" w:cs="Times New Roman"/>
          <w:sz w:val="24"/>
          <w:szCs w:val="24"/>
        </w:rPr>
        <w:t xml:space="preserve"> ás 10h04</w:t>
      </w:r>
      <w:r>
        <w:rPr>
          <w:rFonts w:ascii="Times New Roman" w:hAnsi="Times New Roman" w:cs="Times New Roman"/>
          <w:sz w:val="24"/>
          <w:szCs w:val="24"/>
        </w:rPr>
        <w:t>, NÃO CONSTA NENHUMA PENDÊNCIA REFERENTE AOS CANDIDATOS;</w:t>
      </w:r>
    </w:p>
    <w:p w:rsidR="00C15438" w:rsidRDefault="00C15438" w:rsidP="00417DA2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18" w:rsidRPr="0013164F" w:rsidRDefault="00453AC8" w:rsidP="00F53E18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4F">
        <w:rPr>
          <w:rFonts w:ascii="Times New Roman" w:hAnsi="Times New Roman" w:cs="Times New Roman"/>
          <w:sz w:val="24"/>
          <w:szCs w:val="24"/>
          <w:u w:val="single"/>
        </w:rPr>
        <w:t>Aprovado por unanimidade dos presentes</w:t>
      </w:r>
    </w:p>
    <w:p w:rsidR="00135D90" w:rsidRDefault="00135D90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D74742" w:rsidRPr="00295A64" w:rsidRDefault="00062972" w:rsidP="00295A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95A64">
        <w:rPr>
          <w:rFonts w:ascii="Arial" w:hAnsi="Arial" w:cs="Arial"/>
        </w:rPr>
        <w:t xml:space="preserve">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D74742" w:rsidRPr="00295A64" w:rsidTr="009A0A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Pr="00295A64" w:rsidRDefault="00820142" w:rsidP="00295A64">
            <w:pPr>
              <w:autoSpaceDE w:val="0"/>
              <w:spacing w:after="0" w:line="360" w:lineRule="auto"/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color w:val="000000" w:themeColor="text1"/>
              </w:rPr>
              <w:t>MÁRIO BARBOSA DA SILVA</w:t>
            </w:r>
            <w:r w:rsidR="00D74742" w:rsidRPr="00295A64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D74742" w:rsidRPr="00295A64">
              <w:rPr>
                <w:rFonts w:ascii="Arial" w:eastAsia="Calibri" w:hAnsi="Arial" w:cs="Arial"/>
                <w:lang w:eastAsia="pt-BR"/>
              </w:rPr>
              <w:t>Coordenador</w:t>
            </w:r>
          </w:p>
          <w:p w:rsidR="00D74742" w:rsidRPr="00295A64" w:rsidRDefault="00D74742" w:rsidP="00295A64">
            <w:pPr>
              <w:autoSpaceDE w:val="0"/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Pr="00295A64" w:rsidRDefault="00D74742" w:rsidP="00295A6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95A64">
              <w:rPr>
                <w:rFonts w:ascii="Arial" w:eastAsia="Times New Roman" w:hAnsi="Arial" w:cs="Arial"/>
                <w:lang w:eastAsia="pt-BR"/>
              </w:rPr>
              <w:t>_______</w:t>
            </w:r>
            <w:r w:rsidR="00E47B34">
              <w:rPr>
                <w:rFonts w:ascii="Arial" w:eastAsia="Times New Roman" w:hAnsi="Arial" w:cs="Arial"/>
                <w:lang w:eastAsia="pt-BR"/>
              </w:rPr>
              <w:t>___________________________</w:t>
            </w:r>
          </w:p>
        </w:tc>
      </w:tr>
    </w:tbl>
    <w:p w:rsidR="00820142" w:rsidRPr="00295A64" w:rsidRDefault="00820142" w:rsidP="00820142">
      <w:pPr>
        <w:jc w:val="center"/>
        <w:rPr>
          <w:rFonts w:ascii="Arial" w:hAnsi="Arial" w:cs="Arial"/>
          <w:b/>
          <w:lang w:eastAsia="pt-BR"/>
        </w:rPr>
      </w:pPr>
      <w:r w:rsidRPr="00295A64">
        <w:rPr>
          <w:rFonts w:ascii="Arial" w:hAnsi="Arial" w:cs="Arial"/>
          <w:b/>
          <w:lang w:eastAsia="pt-BR"/>
        </w:rPr>
        <w:t>Folha de Votação</w:t>
      </w:r>
    </w:p>
    <w:tbl>
      <w:tblPr>
        <w:tblW w:w="100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544"/>
        <w:gridCol w:w="709"/>
        <w:gridCol w:w="850"/>
        <w:gridCol w:w="851"/>
        <w:gridCol w:w="850"/>
      </w:tblGrid>
      <w:tr w:rsidR="00820142" w:rsidRPr="00295A64" w:rsidTr="00E47B34"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95E8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Votação</w:t>
            </w:r>
          </w:p>
        </w:tc>
      </w:tr>
      <w:tr w:rsidR="00820142" w:rsidRPr="00295A64" w:rsidTr="00E47B34"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ind w:right="-44"/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Abst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Ausên</w:t>
            </w: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>Thaíse Marcela N. Oliveira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135D90" w:rsidP="00106815">
            <w:pPr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color w:val="000000"/>
              </w:rPr>
              <w:t>Rafael  Dal-Ri</w:t>
            </w:r>
            <w:r w:rsidRPr="00295A6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jc w:val="center"/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color w:val="000000"/>
              </w:rPr>
            </w:pPr>
            <w:r w:rsidRPr="00295A64">
              <w:rPr>
                <w:rFonts w:ascii="Arial" w:hAnsi="Arial" w:cs="Arial"/>
                <w:color w:val="000000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135D90" w:rsidP="00106815">
            <w:pPr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  <w:r w:rsidRPr="00295A64">
              <w:rPr>
                <w:rFonts w:ascii="Arial" w:hAnsi="Arial" w:cs="Arial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295A64" w:rsidRDefault="00820142" w:rsidP="00106815">
            <w:pPr>
              <w:rPr>
                <w:rFonts w:ascii="Arial" w:hAnsi="Arial" w:cs="Arial"/>
                <w:color w:val="000000"/>
              </w:rPr>
            </w:pPr>
            <w:r w:rsidRPr="00295A64">
              <w:rPr>
                <w:rFonts w:ascii="Arial" w:hAnsi="Arial" w:cs="Arial"/>
                <w:color w:val="000000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135D90" w:rsidP="00106815">
            <w:pPr>
              <w:jc w:val="center"/>
              <w:rPr>
                <w:rFonts w:ascii="Arial" w:hAnsi="Arial" w:cs="Arial"/>
                <w:lang w:eastAsia="pt-BR"/>
              </w:rPr>
            </w:pPr>
            <w:proofErr w:type="gramStart"/>
            <w:r>
              <w:rPr>
                <w:rFonts w:ascii="Arial" w:hAnsi="Arial" w:cs="Arial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lang w:eastAsia="pt-BR"/>
              </w:rPr>
            </w:pPr>
          </w:p>
        </w:tc>
      </w:tr>
      <w:tr w:rsidR="00820142" w:rsidRPr="00295A64" w:rsidTr="00E47B34">
        <w:trPr>
          <w:trHeight w:val="318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lastRenderedPageBreak/>
              <w:t>Histórico da votação:</w:t>
            </w:r>
          </w:p>
          <w:p w:rsidR="00820142" w:rsidRPr="00295A64" w:rsidRDefault="00820142" w:rsidP="00106815">
            <w:pPr>
              <w:rPr>
                <w:rFonts w:ascii="Arial" w:hAnsi="Arial" w:cs="Arial"/>
                <w:b/>
                <w:lang w:eastAsia="pt-BR"/>
              </w:rPr>
            </w:pPr>
          </w:p>
          <w:p w:rsidR="00820142" w:rsidRPr="00295A64" w:rsidRDefault="00223F73" w:rsidP="0010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pt-BR"/>
              </w:rPr>
              <w:t>8</w:t>
            </w:r>
            <w:r w:rsidR="00820142" w:rsidRPr="00295A64">
              <w:rPr>
                <w:rFonts w:ascii="Arial" w:hAnsi="Arial" w:cs="Arial"/>
                <w:b/>
                <w:lang w:eastAsia="pt-BR"/>
              </w:rPr>
              <w:t xml:space="preserve">ª </w:t>
            </w:r>
            <w:r w:rsidR="00AE6511" w:rsidRPr="00295A64">
              <w:rPr>
                <w:rFonts w:ascii="Arial" w:hAnsi="Arial" w:cs="Arial"/>
                <w:b/>
                <w:lang w:eastAsia="pt-BR"/>
              </w:rPr>
              <w:t xml:space="preserve">DELIBERAÇÃO </w:t>
            </w:r>
            <w:r w:rsidR="00AE6511" w:rsidRPr="00295A64">
              <w:rPr>
                <w:rFonts w:ascii="Arial" w:eastAsia="Calibri" w:hAnsi="Arial" w:cs="Arial"/>
                <w:b/>
              </w:rPr>
              <w:t>DA</w:t>
            </w:r>
            <w:r w:rsidR="00820142" w:rsidRPr="00295A64">
              <w:rPr>
                <w:rFonts w:ascii="Arial" w:eastAsia="Calibri" w:hAnsi="Arial" w:cs="Arial"/>
                <w:b/>
              </w:rPr>
              <w:t xml:space="preserve"> CE-CAU/PR</w:t>
            </w:r>
            <w:r w:rsidR="00820142" w:rsidRPr="00295A64">
              <w:rPr>
                <w:rFonts w:ascii="Arial" w:hAnsi="Arial" w:cs="Arial"/>
                <w:b/>
                <w:lang w:eastAsia="pt-BR"/>
              </w:rPr>
              <w:t xml:space="preserve"> DE 2020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Data:</w:t>
            </w:r>
            <w:r w:rsidRPr="00295A64">
              <w:rPr>
                <w:rFonts w:ascii="Arial" w:hAnsi="Arial" w:cs="Arial"/>
                <w:lang w:eastAsia="pt-BR"/>
              </w:rPr>
              <w:t xml:space="preserve"> </w:t>
            </w:r>
            <w:r w:rsidR="00453AC8">
              <w:rPr>
                <w:rFonts w:ascii="Arial" w:hAnsi="Arial" w:cs="Arial"/>
                <w:lang w:eastAsia="pt-BR"/>
              </w:rPr>
              <w:t>1</w:t>
            </w:r>
            <w:r w:rsidR="00135D90">
              <w:rPr>
                <w:rFonts w:ascii="Arial" w:hAnsi="Arial" w:cs="Arial"/>
                <w:lang w:eastAsia="pt-BR"/>
              </w:rPr>
              <w:t>0</w:t>
            </w:r>
            <w:r w:rsidR="001839E2">
              <w:rPr>
                <w:rFonts w:ascii="Arial" w:hAnsi="Arial" w:cs="Arial"/>
                <w:lang w:eastAsia="pt-BR"/>
              </w:rPr>
              <w:t>/09</w:t>
            </w:r>
            <w:r w:rsidR="00506BCF">
              <w:rPr>
                <w:rFonts w:ascii="Arial" w:hAnsi="Arial" w:cs="Arial"/>
                <w:lang w:eastAsia="pt-BR"/>
              </w:rPr>
              <w:t>/2020</w:t>
            </w:r>
          </w:p>
          <w:p w:rsidR="00820142" w:rsidRPr="00295A64" w:rsidRDefault="00820142" w:rsidP="00106815">
            <w:pPr>
              <w:jc w:val="both"/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Matéria em votação:</w:t>
            </w:r>
            <w:r w:rsidRPr="00295A64">
              <w:rPr>
                <w:rFonts w:ascii="Arial" w:hAnsi="Arial" w:cs="Arial"/>
                <w:lang w:eastAsia="pt-BR"/>
              </w:rPr>
              <w:t xml:space="preserve"> </w:t>
            </w:r>
            <w:r w:rsidR="001839E2">
              <w:rPr>
                <w:rFonts w:ascii="Arial" w:hAnsi="Arial" w:cs="Arial"/>
              </w:rPr>
              <w:t>Julgamento dos pedidos de registro de candidatura de conselheiros titulares e respectivos suplentes de conselheiro de CAU</w:t>
            </w:r>
            <w:proofErr w:type="gramStart"/>
            <w:r w:rsidR="001839E2">
              <w:rPr>
                <w:rFonts w:ascii="Arial" w:hAnsi="Arial" w:cs="Arial"/>
              </w:rPr>
              <w:t>/;BR</w:t>
            </w:r>
            <w:proofErr w:type="gramEnd"/>
            <w:r w:rsidR="001839E2">
              <w:rPr>
                <w:rFonts w:ascii="Arial" w:hAnsi="Arial" w:cs="Arial"/>
              </w:rPr>
              <w:t xml:space="preserve"> e do CAU/PR, nas eleições 2020 do CAU.</w:t>
            </w:r>
            <w:r w:rsidR="009E659B">
              <w:rPr>
                <w:rFonts w:ascii="Arial" w:hAnsi="Arial" w:cs="Arial"/>
              </w:rPr>
              <w:t xml:space="preserve"> 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Resultado da votação: Sim</w:t>
            </w:r>
            <w:r w:rsidRPr="00295A64">
              <w:rPr>
                <w:rFonts w:ascii="Arial" w:hAnsi="Arial" w:cs="Arial"/>
                <w:lang w:eastAsia="pt-BR"/>
              </w:rPr>
              <w:t xml:space="preserve"> </w:t>
            </w:r>
            <w:proofErr w:type="gramStart"/>
            <w:r w:rsidRPr="00295A64">
              <w:rPr>
                <w:rFonts w:ascii="Arial" w:hAnsi="Arial" w:cs="Arial"/>
                <w:lang w:eastAsia="pt-BR"/>
              </w:rPr>
              <w:t>(</w:t>
            </w:r>
            <w:r w:rsidR="00623682">
              <w:rPr>
                <w:rFonts w:ascii="Arial" w:hAnsi="Arial" w:cs="Arial"/>
                <w:lang w:eastAsia="pt-BR"/>
              </w:rPr>
              <w:t xml:space="preserve"> </w:t>
            </w:r>
            <w:r w:rsidR="00135D90">
              <w:rPr>
                <w:rFonts w:ascii="Arial" w:hAnsi="Arial" w:cs="Arial"/>
                <w:lang w:eastAsia="pt-BR"/>
              </w:rPr>
              <w:t>5</w:t>
            </w:r>
            <w:proofErr w:type="gramEnd"/>
            <w:r w:rsidR="00623682">
              <w:rPr>
                <w:rFonts w:ascii="Arial" w:hAnsi="Arial" w:cs="Arial"/>
                <w:lang w:eastAsia="pt-BR"/>
              </w:rPr>
              <w:t xml:space="preserve"> </w:t>
            </w:r>
            <w:r w:rsidRPr="00295A64">
              <w:rPr>
                <w:rFonts w:ascii="Arial" w:hAnsi="Arial" w:cs="Arial"/>
                <w:lang w:eastAsia="pt-BR"/>
              </w:rPr>
              <w:t xml:space="preserve">) </w:t>
            </w:r>
            <w:r w:rsidRPr="00295A64">
              <w:rPr>
                <w:rFonts w:ascii="Arial" w:hAnsi="Arial" w:cs="Arial"/>
                <w:b/>
                <w:lang w:eastAsia="pt-BR"/>
              </w:rPr>
              <w:t>Não</w:t>
            </w:r>
            <w:r w:rsidRPr="00295A64">
              <w:rPr>
                <w:rFonts w:ascii="Arial" w:hAnsi="Arial" w:cs="Arial"/>
                <w:lang w:eastAsia="pt-BR"/>
              </w:rPr>
              <w:t xml:space="preserve"> (0) </w:t>
            </w:r>
            <w:r w:rsidRPr="00295A64">
              <w:rPr>
                <w:rFonts w:ascii="Arial" w:hAnsi="Arial" w:cs="Arial"/>
                <w:b/>
                <w:lang w:eastAsia="pt-BR"/>
              </w:rPr>
              <w:t>Abstenções</w:t>
            </w:r>
            <w:r w:rsidRPr="00295A64">
              <w:rPr>
                <w:rFonts w:ascii="Arial" w:hAnsi="Arial" w:cs="Arial"/>
                <w:lang w:eastAsia="pt-BR"/>
              </w:rPr>
              <w:t xml:space="preserve"> (0) </w:t>
            </w:r>
            <w:r w:rsidRPr="00295A64">
              <w:rPr>
                <w:rFonts w:ascii="Arial" w:hAnsi="Arial" w:cs="Arial"/>
                <w:b/>
                <w:lang w:eastAsia="pt-BR"/>
              </w:rPr>
              <w:t>Ausências</w:t>
            </w:r>
            <w:r w:rsidRPr="00295A64">
              <w:rPr>
                <w:rFonts w:ascii="Arial" w:hAnsi="Arial" w:cs="Arial"/>
                <w:lang w:eastAsia="pt-BR"/>
              </w:rPr>
              <w:t xml:space="preserve"> (</w:t>
            </w:r>
            <w:r w:rsidR="00623682">
              <w:rPr>
                <w:rFonts w:ascii="Arial" w:hAnsi="Arial" w:cs="Arial"/>
                <w:lang w:eastAsia="pt-BR"/>
              </w:rPr>
              <w:t xml:space="preserve"> </w:t>
            </w:r>
            <w:r w:rsidRPr="00295A64">
              <w:rPr>
                <w:rFonts w:ascii="Arial" w:hAnsi="Arial" w:cs="Arial"/>
                <w:lang w:eastAsia="pt-BR"/>
              </w:rPr>
              <w:t xml:space="preserve">) </w:t>
            </w:r>
            <w:r w:rsidRPr="00295A64">
              <w:rPr>
                <w:rFonts w:ascii="Arial" w:hAnsi="Arial" w:cs="Arial"/>
                <w:b/>
                <w:lang w:eastAsia="pt-BR"/>
              </w:rPr>
              <w:t xml:space="preserve">Total </w:t>
            </w:r>
            <w:r w:rsidRPr="00295A64">
              <w:rPr>
                <w:rFonts w:ascii="Arial" w:hAnsi="Arial" w:cs="Arial"/>
                <w:lang w:eastAsia="pt-BR"/>
              </w:rPr>
              <w:t xml:space="preserve">(5) 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lang w:eastAsia="pt-BR"/>
              </w:rPr>
              <w:t>Ocorrências</w:t>
            </w:r>
            <w:r w:rsidRPr="00295A64">
              <w:rPr>
                <w:rFonts w:ascii="Arial" w:hAnsi="Arial" w:cs="Arial"/>
                <w:lang w:eastAsia="pt-BR"/>
              </w:rPr>
              <w:t xml:space="preserve">: Sem ocorrências </w:t>
            </w:r>
          </w:p>
          <w:p w:rsidR="00820142" w:rsidRPr="00295A64" w:rsidRDefault="00820142" w:rsidP="00106815">
            <w:pPr>
              <w:rPr>
                <w:rFonts w:ascii="Arial" w:hAnsi="Arial" w:cs="Arial"/>
              </w:rPr>
            </w:pPr>
            <w:r w:rsidRPr="00295A64">
              <w:rPr>
                <w:rFonts w:ascii="Arial" w:hAnsi="Arial" w:cs="Arial"/>
                <w:b/>
                <w:bCs/>
                <w:lang w:eastAsia="pt-BR"/>
              </w:rPr>
              <w:t xml:space="preserve">Assessoria Técnica: </w:t>
            </w:r>
            <w:r w:rsidRPr="00295A64">
              <w:rPr>
                <w:rFonts w:ascii="Arial" w:hAnsi="Arial" w:cs="Arial"/>
                <w:bCs/>
                <w:lang w:eastAsia="pt-BR"/>
              </w:rPr>
              <w:t>Francine Claudia Kosciuv</w:t>
            </w:r>
            <w:r w:rsidRPr="00295A64">
              <w:rPr>
                <w:rFonts w:ascii="Arial" w:hAnsi="Arial" w:cs="Arial"/>
                <w:lang w:eastAsia="pt-BR"/>
              </w:rPr>
              <w:t xml:space="preserve">                     </w:t>
            </w:r>
          </w:p>
        </w:tc>
      </w:tr>
    </w:tbl>
    <w:p w:rsidR="00D74742" w:rsidRDefault="00D74742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17DA2" w:rsidRPr="00295A64" w:rsidRDefault="00417DA2" w:rsidP="00417DA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17DA2" w:rsidRPr="00295A64" w:rsidRDefault="00417DA2" w:rsidP="00417DA2">
      <w:pPr>
        <w:spacing w:before="2" w:after="2" w:line="276" w:lineRule="auto"/>
        <w:jc w:val="both"/>
        <w:rPr>
          <w:rFonts w:ascii="Arial" w:eastAsia="Calibri" w:hAnsi="Arial" w:cs="Arial"/>
          <w:b/>
        </w:rPr>
      </w:pPr>
      <w:bookmarkStart w:id="1" w:name="_Hlk35511071"/>
      <w:r w:rsidRPr="00295A64">
        <w:rPr>
          <w:rFonts w:ascii="Arial" w:hAnsi="Arial" w:cs="Arial"/>
          <w:bCs/>
          <w:color w:val="000000"/>
          <w:spacing w:val="4"/>
          <w:lang w:eastAsia="pt-BR"/>
        </w:rPr>
        <w:t xml:space="preserve">Considerando a necessidade de ações cautelosas em defesa da saúde dos membros da comissão eleitoral do CAU/PR, assistente e colaboradores do Conselho e a implantação de reuniões deliberativas virtuais autorizadas pelo CAU/BR, atesto a veracidade </w:t>
      </w:r>
      <w:r w:rsidR="0013164F">
        <w:rPr>
          <w:rFonts w:ascii="Arial" w:hAnsi="Arial" w:cs="Arial"/>
          <w:bCs/>
          <w:color w:val="000000"/>
          <w:spacing w:val="4"/>
          <w:lang w:eastAsia="pt-BR"/>
        </w:rPr>
        <w:t>da</w:t>
      </w:r>
      <w:r w:rsidR="001839E2">
        <w:rPr>
          <w:rFonts w:ascii="Arial" w:hAnsi="Arial" w:cs="Arial"/>
          <w:bCs/>
          <w:color w:val="000000"/>
          <w:spacing w:val="4"/>
          <w:lang w:eastAsia="pt-BR"/>
        </w:rPr>
        <w:t xml:space="preserve"> reunião </w:t>
      </w:r>
      <w:r w:rsidR="00B33E69">
        <w:rPr>
          <w:rFonts w:ascii="Arial" w:hAnsi="Arial" w:cs="Arial"/>
          <w:bCs/>
          <w:color w:val="000000"/>
          <w:spacing w:val="4"/>
          <w:lang w:eastAsia="pt-BR"/>
        </w:rPr>
        <w:t xml:space="preserve">realizada </w:t>
      </w:r>
      <w:r w:rsidR="001839E2">
        <w:rPr>
          <w:rFonts w:ascii="Arial" w:hAnsi="Arial" w:cs="Arial"/>
          <w:bCs/>
          <w:color w:val="000000"/>
          <w:spacing w:val="4"/>
          <w:lang w:eastAsia="pt-BR"/>
        </w:rPr>
        <w:t>e</w:t>
      </w:r>
      <w:r w:rsidR="00B33E69">
        <w:rPr>
          <w:rFonts w:ascii="Arial" w:hAnsi="Arial" w:cs="Arial"/>
          <w:bCs/>
          <w:color w:val="000000"/>
          <w:spacing w:val="4"/>
          <w:lang w:eastAsia="pt-BR"/>
        </w:rPr>
        <w:t xml:space="preserve"> a</w:t>
      </w:r>
      <w:r w:rsidR="001839E2">
        <w:rPr>
          <w:rFonts w:ascii="Arial" w:hAnsi="Arial" w:cs="Arial"/>
          <w:bCs/>
          <w:color w:val="000000"/>
          <w:spacing w:val="4"/>
          <w:lang w:eastAsia="pt-BR"/>
        </w:rPr>
        <w:t xml:space="preserve"> presença dos membros acima mencionados</w:t>
      </w:r>
      <w:r w:rsidRPr="00295A64">
        <w:rPr>
          <w:rFonts w:ascii="Arial" w:hAnsi="Arial" w:cs="Arial"/>
          <w:bCs/>
          <w:color w:val="000000"/>
          <w:spacing w:val="4"/>
          <w:lang w:eastAsia="pt-BR"/>
        </w:rPr>
        <w:t>.</w:t>
      </w:r>
    </w:p>
    <w:p w:rsidR="00417DA2" w:rsidRPr="00295A64" w:rsidRDefault="00417DA2" w:rsidP="00417DA2">
      <w:pPr>
        <w:spacing w:before="2" w:after="2" w:line="360" w:lineRule="auto"/>
        <w:jc w:val="center"/>
        <w:rPr>
          <w:rFonts w:ascii="Arial" w:eastAsia="Calibri" w:hAnsi="Arial" w:cs="Arial"/>
          <w:b/>
        </w:rPr>
      </w:pPr>
    </w:p>
    <w:p w:rsidR="00417DA2" w:rsidRPr="00295A64" w:rsidRDefault="00417DA2" w:rsidP="00417DA2">
      <w:pPr>
        <w:spacing w:before="2" w:after="2" w:line="360" w:lineRule="auto"/>
        <w:jc w:val="center"/>
        <w:rPr>
          <w:rFonts w:ascii="Arial" w:eastAsia="Calibri" w:hAnsi="Arial" w:cs="Arial"/>
          <w:b/>
        </w:rPr>
      </w:pPr>
    </w:p>
    <w:p w:rsidR="00417DA2" w:rsidRPr="00295A64" w:rsidRDefault="00417DA2" w:rsidP="00417DA2">
      <w:pPr>
        <w:spacing w:before="2" w:after="2" w:line="276" w:lineRule="auto"/>
        <w:jc w:val="center"/>
        <w:rPr>
          <w:rFonts w:ascii="Arial" w:eastAsia="Calibri" w:hAnsi="Arial" w:cs="Arial"/>
          <w:b/>
        </w:rPr>
      </w:pPr>
    </w:p>
    <w:bookmarkEnd w:id="1"/>
    <w:p w:rsidR="00417DA2" w:rsidRPr="008F7D4D" w:rsidRDefault="00417DA2" w:rsidP="00417DA2">
      <w:pPr>
        <w:spacing w:before="2" w:after="2" w:line="276" w:lineRule="auto"/>
        <w:jc w:val="center"/>
        <w:rPr>
          <w:rFonts w:ascii="Arial" w:eastAsia="Calibri" w:hAnsi="Arial" w:cs="Arial"/>
        </w:rPr>
      </w:pPr>
      <w:r w:rsidRPr="008F7D4D">
        <w:rPr>
          <w:rFonts w:ascii="Arial" w:eastAsia="Calibri" w:hAnsi="Arial" w:cs="Arial"/>
        </w:rPr>
        <w:t>_________________________________________</w:t>
      </w:r>
    </w:p>
    <w:p w:rsidR="00417DA2" w:rsidRPr="00295A64" w:rsidRDefault="00417DA2" w:rsidP="00417DA2">
      <w:pPr>
        <w:spacing w:before="2" w:after="2" w:line="276" w:lineRule="auto"/>
        <w:jc w:val="center"/>
        <w:rPr>
          <w:rFonts w:ascii="Arial" w:eastAsia="Calibri" w:hAnsi="Arial" w:cs="Arial"/>
          <w:b/>
        </w:rPr>
      </w:pPr>
      <w:r w:rsidRPr="00295A64">
        <w:rPr>
          <w:rFonts w:ascii="Arial" w:eastAsia="Calibri" w:hAnsi="Arial" w:cs="Arial"/>
          <w:b/>
        </w:rPr>
        <w:t>FRANCINE CLAUDIA KOSCIUV</w:t>
      </w:r>
    </w:p>
    <w:p w:rsidR="00417DA2" w:rsidRPr="00295A64" w:rsidRDefault="00417DA2" w:rsidP="00417DA2">
      <w:pPr>
        <w:tabs>
          <w:tab w:val="left" w:pos="1560"/>
        </w:tabs>
        <w:spacing w:before="2" w:after="2" w:line="276" w:lineRule="auto"/>
        <w:jc w:val="center"/>
        <w:rPr>
          <w:rFonts w:ascii="Arial" w:eastAsia="Calibri" w:hAnsi="Arial" w:cs="Arial"/>
        </w:rPr>
      </w:pPr>
      <w:r w:rsidRPr="00295A64">
        <w:rPr>
          <w:rFonts w:ascii="Arial" w:eastAsia="Calibri" w:hAnsi="Arial" w:cs="Arial"/>
        </w:rPr>
        <w:t xml:space="preserve">Assistente da </w:t>
      </w:r>
      <w:r w:rsidRPr="00295A64">
        <w:rPr>
          <w:rFonts w:ascii="Arial" w:hAnsi="Arial" w:cs="Arial"/>
          <w:bCs/>
          <w:color w:val="000000"/>
          <w:spacing w:val="4"/>
          <w:lang w:eastAsia="pt-BR"/>
        </w:rPr>
        <w:t>Comissão Eleitoral do CAU/PR</w:t>
      </w:r>
    </w:p>
    <w:p w:rsidR="00417DA2" w:rsidRPr="00295A64" w:rsidRDefault="00417DA2" w:rsidP="00417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417DA2" w:rsidRPr="00295A64" w:rsidRDefault="00417DA2" w:rsidP="00417DA2">
      <w:pPr>
        <w:tabs>
          <w:tab w:val="center" w:pos="4252"/>
          <w:tab w:val="right" w:pos="8504"/>
        </w:tabs>
        <w:rPr>
          <w:rFonts w:ascii="Arial" w:eastAsia="Calibri" w:hAnsi="Arial" w:cs="Arial"/>
          <w:b/>
        </w:rPr>
      </w:pPr>
    </w:p>
    <w:p w:rsidR="00417DA2" w:rsidRDefault="00417DA2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820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E22C0" w:rsidRDefault="005E22C0" w:rsidP="005E22C0">
      <w:pPr>
        <w:spacing w:before="240"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DIVULGAÇÃO DO </w:t>
      </w:r>
      <w:bookmarkStart w:id="2" w:name="_Hlk26361085"/>
      <w:r>
        <w:rPr>
          <w:rFonts w:ascii="Times New Roman" w:hAnsi="Times New Roman"/>
          <w:b/>
        </w:rPr>
        <w:t>JULGAMENTO DOS PEDIDOS DE REGISTRO DE CANDIDATURA</w:t>
      </w:r>
      <w:r w:rsidRPr="00DD5FB1">
        <w:rPr>
          <w:rFonts w:ascii="Times New Roman" w:hAnsi="Times New Roman"/>
          <w:b/>
        </w:rPr>
        <w:t xml:space="preserve"> </w:t>
      </w:r>
      <w:bookmarkEnd w:id="2"/>
      <w:r w:rsidRPr="00DD5FB1">
        <w:rPr>
          <w:rFonts w:ascii="Times New Roman" w:hAnsi="Times New Roman"/>
          <w:b/>
        </w:rPr>
        <w:t>DE CONSELHEIRO</w:t>
      </w:r>
      <w:r>
        <w:rPr>
          <w:rFonts w:ascii="Times New Roman" w:hAnsi="Times New Roman"/>
          <w:b/>
        </w:rPr>
        <w:t>S</w:t>
      </w:r>
      <w:r w:rsidRPr="00DD5F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TITULARES </w:t>
      </w:r>
      <w:r w:rsidRPr="00DD5FB1">
        <w:rPr>
          <w:rFonts w:ascii="Times New Roman" w:hAnsi="Times New Roman"/>
          <w:b/>
        </w:rPr>
        <w:t>E RESPECTIVO</w:t>
      </w:r>
      <w:r>
        <w:rPr>
          <w:rFonts w:ascii="Times New Roman" w:hAnsi="Times New Roman"/>
          <w:b/>
        </w:rPr>
        <w:t>S</w:t>
      </w:r>
      <w:r w:rsidRPr="00DD5FB1">
        <w:rPr>
          <w:rFonts w:ascii="Times New Roman" w:hAnsi="Times New Roman"/>
          <w:b/>
        </w:rPr>
        <w:t xml:space="preserve"> SUPLENTE</w:t>
      </w:r>
      <w:r>
        <w:rPr>
          <w:rFonts w:ascii="Times New Roman" w:hAnsi="Times New Roman"/>
          <w:b/>
        </w:rPr>
        <w:t>S</w:t>
      </w:r>
      <w:r w:rsidRPr="00DD5FB1">
        <w:rPr>
          <w:rFonts w:ascii="Times New Roman" w:hAnsi="Times New Roman"/>
          <w:b/>
        </w:rPr>
        <w:t xml:space="preserve"> DE CONSELHEIRO DO CAU/BR E DO CAU/</w:t>
      </w:r>
      <w:r w:rsidRPr="00AC422B">
        <w:rPr>
          <w:rFonts w:ascii="Times New Roman" w:eastAsia="Times New Roman" w:hAnsi="Times New Roman"/>
          <w:b/>
          <w:bCs/>
          <w:iCs/>
          <w:lang w:eastAsia="pt-BR"/>
        </w:rPr>
        <w:t xml:space="preserve">PR </w:t>
      </w:r>
      <w:r w:rsidRPr="00AC422B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AS ELEIÇÕES 2020 DO CAU</w:t>
      </w:r>
    </w:p>
    <w:p w:rsidR="005E22C0" w:rsidRDefault="005E22C0" w:rsidP="005E22C0">
      <w:pPr>
        <w:spacing w:before="240" w:after="200" w:line="276" w:lineRule="auto"/>
        <w:ind w:firstLine="720"/>
        <w:jc w:val="both"/>
        <w:rPr>
          <w:rFonts w:ascii="Times New Roman" w:eastAsia="Times New Roman" w:hAnsi="Times New Roman"/>
          <w:iCs/>
          <w:lang w:eastAsia="pt-BR"/>
        </w:rPr>
      </w:pPr>
      <w:r>
        <w:rPr>
          <w:rFonts w:ascii="Times New Roman" w:hAnsi="Times New Roman"/>
          <w:snapToGrid w:val="0"/>
        </w:rPr>
        <w:t>Aos</w:t>
      </w:r>
      <w:r w:rsidRPr="004D3C3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dez </w:t>
      </w:r>
      <w:r w:rsidRPr="004D3C3F">
        <w:rPr>
          <w:rFonts w:ascii="Times New Roman" w:hAnsi="Times New Roman"/>
          <w:snapToGrid w:val="0"/>
        </w:rPr>
        <w:t xml:space="preserve">dias do mês de setembro do ano de 2020, o Coordenador da Comissão Eleitoral do Conselho de Arquitetura e Urbanismo do Paraná - CE-CAU/PR, em cumprimento ao disposto no Regulamento Eleitoral aprovado pela Resolução CAU/BR n°179, de 22 de agosto de 2019, que regulamenta as eleições do Conselho de Arquitetura e Urbanismo, e em conformidade com o Calendário eleitoral das Eleições de 2020 do CAU, </w:t>
      </w:r>
      <w:r w:rsidRPr="004D3C3F">
        <w:rPr>
          <w:rFonts w:ascii="Times New Roman" w:hAnsi="Times New Roman"/>
          <w:b/>
          <w:snapToGrid w:val="0"/>
          <w:u w:val="single"/>
        </w:rPr>
        <w:t>DIVULGA</w:t>
      </w:r>
      <w:r>
        <w:rPr>
          <w:rFonts w:ascii="Times New Roman" w:hAnsi="Times New Roman"/>
          <w:snapToGrid w:val="0"/>
        </w:rPr>
        <w:t xml:space="preserve"> a relação do extrato de </w:t>
      </w:r>
      <w:r w:rsidRPr="00390E5B">
        <w:rPr>
          <w:rFonts w:ascii="Times New Roman" w:hAnsi="Times New Roman"/>
          <w:b/>
          <w:snapToGrid w:val="0"/>
        </w:rPr>
        <w:t>JULGAMENTO DOS PEDIDOS DE REGISTRO DE CANDIDATURA</w:t>
      </w:r>
      <w:r>
        <w:rPr>
          <w:rFonts w:ascii="Times New Roman" w:hAnsi="Times New Roman"/>
          <w:snapToGrid w:val="0"/>
        </w:rPr>
        <w:t xml:space="preserve"> na eleição de </w:t>
      </w:r>
      <w:r>
        <w:rPr>
          <w:rFonts w:ascii="Times New Roman" w:eastAsia="Times New Roman" w:hAnsi="Times New Roman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</w:t>
      </w:r>
      <w:r w:rsidRPr="00C96828">
        <w:rPr>
          <w:rFonts w:ascii="Times New Roman" w:eastAsia="Times New Roman" w:hAnsi="Times New Roman"/>
          <w:lang w:eastAsia="pt-BR"/>
        </w:rPr>
        <w:t xml:space="preserve">Arquitetura e Urbanismo </w:t>
      </w:r>
      <w:r w:rsidRPr="00C96828">
        <w:rPr>
          <w:rFonts w:ascii="Times New Roman" w:eastAsia="Times New Roman" w:hAnsi="Times New Roman"/>
          <w:iCs/>
          <w:lang w:eastAsia="pt-BR"/>
        </w:rPr>
        <w:t>do Paraná – CAU/PR</w:t>
      </w:r>
      <w:r>
        <w:rPr>
          <w:rFonts w:ascii="Times New Roman" w:eastAsia="Times New Roman" w:hAnsi="Times New Roman"/>
          <w:iCs/>
          <w:lang w:eastAsia="pt-BR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5E22C0" w:rsidRPr="00031079" w:rsidTr="00723773">
        <w:trPr>
          <w:trHeight w:val="526"/>
        </w:trPr>
        <w:tc>
          <w:tcPr>
            <w:tcW w:w="3539" w:type="dxa"/>
            <w:shd w:val="clear" w:color="auto" w:fill="auto"/>
          </w:tcPr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CHAPA</w:t>
            </w:r>
          </w:p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5E22C0" w:rsidRPr="00CD091C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</w:pPr>
            <w:r w:rsidRPr="00CD091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>01 - PR</w:t>
            </w:r>
          </w:p>
          <w:p w:rsidR="005E22C0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MARGARETH ZIOLLA MENEZES</w:t>
            </w:r>
          </w:p>
          <w:p w:rsidR="005E22C0" w:rsidRPr="00160FA8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</w:p>
        </w:tc>
      </w:tr>
      <w:tr w:rsidR="005E22C0" w:rsidRPr="00031079" w:rsidTr="00723773">
        <w:trPr>
          <w:trHeight w:val="548"/>
        </w:trPr>
        <w:tc>
          <w:tcPr>
            <w:tcW w:w="3539" w:type="dxa"/>
            <w:shd w:val="clear" w:color="auto" w:fill="auto"/>
          </w:tcPr>
          <w:p w:rsidR="005E22C0" w:rsidRPr="00031079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</w:t>
            </w:r>
          </w:p>
        </w:tc>
        <w:tc>
          <w:tcPr>
            <w:tcW w:w="5641" w:type="dxa"/>
            <w:shd w:val="clear" w:color="auto" w:fill="auto"/>
          </w:tcPr>
          <w:p w:rsidR="005E22C0" w:rsidRPr="00D07BDF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lang w:eastAsia="pt-BR"/>
              </w:rPr>
              <w:t xml:space="preserve">registro de candidatura </w:t>
            </w:r>
            <w:r>
              <w:rPr>
                <w:rFonts w:ascii="Times New Roman" w:eastAsia="Times New Roman" w:hAnsi="Times New Roman"/>
                <w:iCs/>
                <w:lang w:eastAsia="pt-BR"/>
              </w:rPr>
              <w:t xml:space="preserve">-   </w:t>
            </w:r>
            <w:r w:rsidRPr="00D07BDF">
              <w:rPr>
                <w:rFonts w:ascii="Times New Roman" w:eastAsia="Times New Roman" w:hAnsi="Times New Roman"/>
                <w:b/>
                <w:iCs/>
                <w:lang w:eastAsia="pt-BR"/>
              </w:rPr>
              <w:t>DEFERIDA</w:t>
            </w:r>
          </w:p>
        </w:tc>
      </w:tr>
      <w:tr w:rsidR="005E22C0" w:rsidRPr="00031079" w:rsidTr="00723773">
        <w:trPr>
          <w:trHeight w:val="548"/>
        </w:trPr>
        <w:tc>
          <w:tcPr>
            <w:tcW w:w="3539" w:type="dxa"/>
            <w:shd w:val="clear" w:color="auto" w:fill="auto"/>
          </w:tcPr>
          <w:p w:rsidR="005E22C0" w:rsidRDefault="005E22C0" w:rsidP="0072377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41" w:type="dxa"/>
            <w:shd w:val="clear" w:color="auto" w:fill="auto"/>
          </w:tcPr>
          <w:p w:rsidR="005E22C0" w:rsidRPr="00321DCF" w:rsidRDefault="005E22C0" w:rsidP="0072377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22C0" w:rsidRDefault="005E22C0" w:rsidP="005E22C0">
      <w:pPr>
        <w:spacing w:before="240" w:after="120"/>
        <w:ind w:right="-1" w:firstLine="567"/>
        <w:jc w:val="both"/>
        <w:rPr>
          <w:rFonts w:ascii="Times New Roman" w:hAnsi="Times New Roman"/>
          <w:snapToGrid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5E22C0" w:rsidTr="00723773">
        <w:trPr>
          <w:trHeight w:val="548"/>
        </w:trPr>
        <w:tc>
          <w:tcPr>
            <w:tcW w:w="3652" w:type="dxa"/>
            <w:shd w:val="clear" w:color="auto" w:fill="auto"/>
          </w:tcPr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CHAPA</w:t>
            </w:r>
          </w:p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Responsável pela chapa:</w:t>
            </w:r>
          </w:p>
        </w:tc>
        <w:tc>
          <w:tcPr>
            <w:tcW w:w="5670" w:type="dxa"/>
            <w:shd w:val="clear" w:color="auto" w:fill="auto"/>
          </w:tcPr>
          <w:p w:rsidR="005E22C0" w:rsidRPr="00CD091C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</w:pPr>
            <w:r w:rsidRPr="00CD091C">
              <w:rPr>
                <w:rFonts w:ascii="Times New Roman" w:eastAsia="Times New Roman" w:hAnsi="Times New Roman"/>
                <w:b/>
                <w:iCs/>
                <w:lang w:eastAsia="pt-BR"/>
              </w:rPr>
              <w:t>02 - PR</w:t>
            </w:r>
          </w:p>
          <w:p w:rsidR="005E22C0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WALTER GUSTAVO LINZMEYER</w:t>
            </w:r>
          </w:p>
          <w:p w:rsidR="005E22C0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MILTON CARLOS ZANELATTO GONÇALVES</w:t>
            </w:r>
          </w:p>
          <w:p w:rsidR="005E22C0" w:rsidRPr="00160FA8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JEFERSON DANTAS NAVOLAR</w:t>
            </w:r>
          </w:p>
        </w:tc>
      </w:tr>
      <w:tr w:rsidR="005E22C0" w:rsidTr="00723773">
        <w:trPr>
          <w:trHeight w:val="548"/>
        </w:trPr>
        <w:tc>
          <w:tcPr>
            <w:tcW w:w="3652" w:type="dxa"/>
            <w:shd w:val="clear" w:color="auto" w:fill="auto"/>
          </w:tcPr>
          <w:p w:rsidR="005E22C0" w:rsidRPr="00031079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</w:t>
            </w:r>
          </w:p>
        </w:tc>
        <w:tc>
          <w:tcPr>
            <w:tcW w:w="5670" w:type="dxa"/>
            <w:shd w:val="clear" w:color="auto" w:fill="auto"/>
          </w:tcPr>
          <w:p w:rsidR="005E22C0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lang w:eastAsia="pt-BR"/>
              </w:rPr>
              <w:t xml:space="preserve">registro de candidatura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DEFERIDA</w:t>
            </w:r>
          </w:p>
        </w:tc>
      </w:tr>
      <w:tr w:rsidR="005E22C0" w:rsidTr="00723773">
        <w:trPr>
          <w:trHeight w:val="548"/>
        </w:trPr>
        <w:tc>
          <w:tcPr>
            <w:tcW w:w="9322" w:type="dxa"/>
            <w:gridSpan w:val="2"/>
            <w:shd w:val="clear" w:color="auto" w:fill="auto"/>
          </w:tcPr>
          <w:p w:rsidR="005E22C0" w:rsidRDefault="005E22C0" w:rsidP="0072377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724E1E" w:rsidRDefault="00724E1E" w:rsidP="00724E1E">
      <w:pPr>
        <w:spacing w:before="240" w:after="240"/>
        <w:ind w:right="-1"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Uma vez que não houve</w:t>
      </w:r>
      <w:r w:rsidRPr="009E4CD6">
        <w:rPr>
          <w:rFonts w:ascii="Times New Roman" w:hAnsi="Times New Roman"/>
          <w:snapToGrid w:val="0"/>
        </w:rPr>
        <w:t xml:space="preserve"> candidaturas indeferidas</w:t>
      </w:r>
      <w:r>
        <w:rPr>
          <w:rFonts w:ascii="Times New Roman" w:hAnsi="Times New Roman"/>
          <w:snapToGrid w:val="0"/>
        </w:rPr>
        <w:t>, encerra-se a possibilidade</w:t>
      </w:r>
      <w:r w:rsidRPr="009E4CD6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de</w:t>
      </w:r>
      <w:r w:rsidRPr="009E4CD6">
        <w:rPr>
          <w:rFonts w:ascii="Times New Roman" w:hAnsi="Times New Roman"/>
          <w:snapToGrid w:val="0"/>
        </w:rPr>
        <w:t xml:space="preserve"> promover a substituição dos candidatos declarados irregulares</w:t>
      </w:r>
      <w:r>
        <w:rPr>
          <w:rFonts w:ascii="Times New Roman" w:hAnsi="Times New Roman"/>
          <w:snapToGrid w:val="0"/>
        </w:rPr>
        <w:t>.</w:t>
      </w:r>
    </w:p>
    <w:p w:rsidR="005E22C0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p w:rsidR="005E22C0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p w:rsidR="005E22C0" w:rsidRPr="000D490D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    _____________________________________________</w:t>
      </w:r>
    </w:p>
    <w:p w:rsidR="005E22C0" w:rsidRPr="00843827" w:rsidRDefault="005E22C0" w:rsidP="005E22C0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ário Barbosa da Silva</w:t>
      </w:r>
    </w:p>
    <w:p w:rsidR="005E22C0" w:rsidRDefault="005E22C0" w:rsidP="005E22C0">
      <w:pPr>
        <w:spacing w:after="0"/>
        <w:jc w:val="center"/>
        <w:rPr>
          <w:rFonts w:ascii="Times New Roman" w:hAnsi="Times New Roman"/>
          <w:snapToGrid w:val="0"/>
          <w:color w:val="000000" w:themeColor="text1"/>
        </w:rPr>
      </w:pPr>
      <w:r w:rsidRPr="00843827">
        <w:rPr>
          <w:rFonts w:ascii="Times New Roman" w:hAnsi="Times New Roman"/>
          <w:snapToGrid w:val="0"/>
          <w:color w:val="000000" w:themeColor="text1"/>
        </w:rPr>
        <w:t>Coord</w:t>
      </w:r>
      <w:r>
        <w:rPr>
          <w:rFonts w:ascii="Times New Roman" w:hAnsi="Times New Roman"/>
          <w:snapToGrid w:val="0"/>
          <w:color w:val="000000" w:themeColor="text1"/>
        </w:rPr>
        <w:t xml:space="preserve">. </w:t>
      </w:r>
      <w:proofErr w:type="gramStart"/>
      <w:r w:rsidRPr="00843827">
        <w:rPr>
          <w:rFonts w:ascii="Times New Roman" w:hAnsi="Times New Roman"/>
          <w:snapToGrid w:val="0"/>
          <w:color w:val="000000" w:themeColor="text1"/>
        </w:rPr>
        <w:t>da</w:t>
      </w:r>
      <w:proofErr w:type="gramEnd"/>
      <w:r w:rsidRPr="00843827">
        <w:rPr>
          <w:rFonts w:ascii="Times New Roman" w:hAnsi="Times New Roman"/>
          <w:snapToGrid w:val="0"/>
          <w:color w:val="000000" w:themeColor="text1"/>
        </w:rPr>
        <w:t xml:space="preserve"> Comissão Eleitoral do Conselho de Arquitetura </w:t>
      </w:r>
      <w:r>
        <w:rPr>
          <w:rFonts w:ascii="Times New Roman" w:hAnsi="Times New Roman"/>
          <w:snapToGrid w:val="0"/>
          <w:color w:val="000000" w:themeColor="text1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</w:rPr>
        <w:t>Paraná</w:t>
      </w:r>
    </w:p>
    <w:p w:rsidR="005E22C0" w:rsidRPr="00295A64" w:rsidRDefault="005E22C0" w:rsidP="005E2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>CAU</w:t>
      </w:r>
    </w:p>
    <w:sectPr w:rsidR="005E22C0" w:rsidRPr="00295A64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57" w:rsidRDefault="00237D57" w:rsidP="006C2169">
      <w:pPr>
        <w:spacing w:after="0" w:line="240" w:lineRule="auto"/>
      </w:pPr>
      <w:r>
        <w:separator/>
      </w:r>
    </w:p>
  </w:endnote>
  <w:endnote w:type="continuationSeparator" w:id="0">
    <w:p w:rsidR="00237D57" w:rsidRDefault="00237D5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57" w:rsidRDefault="00237D57" w:rsidP="006C2169">
      <w:pPr>
        <w:spacing w:after="0" w:line="240" w:lineRule="auto"/>
      </w:pPr>
      <w:r>
        <w:separator/>
      </w:r>
    </w:p>
  </w:footnote>
  <w:footnote w:type="continuationSeparator" w:id="0">
    <w:p w:rsidR="00237D57" w:rsidRDefault="00237D5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3CC"/>
    <w:rsid w:val="0000188A"/>
    <w:rsid w:val="00004342"/>
    <w:rsid w:val="00006F89"/>
    <w:rsid w:val="000214D6"/>
    <w:rsid w:val="00023DF8"/>
    <w:rsid w:val="00024E52"/>
    <w:rsid w:val="00036783"/>
    <w:rsid w:val="0004729F"/>
    <w:rsid w:val="00062420"/>
    <w:rsid w:val="00062972"/>
    <w:rsid w:val="000666AE"/>
    <w:rsid w:val="00067ABA"/>
    <w:rsid w:val="00072AE8"/>
    <w:rsid w:val="0007485C"/>
    <w:rsid w:val="000848F9"/>
    <w:rsid w:val="000C1585"/>
    <w:rsid w:val="000D2CE8"/>
    <w:rsid w:val="000D7313"/>
    <w:rsid w:val="000E5D9A"/>
    <w:rsid w:val="000F20F1"/>
    <w:rsid w:val="000F63AC"/>
    <w:rsid w:val="0011392C"/>
    <w:rsid w:val="001148B5"/>
    <w:rsid w:val="00126F75"/>
    <w:rsid w:val="0013164F"/>
    <w:rsid w:val="00135D90"/>
    <w:rsid w:val="00152BEE"/>
    <w:rsid w:val="001652F3"/>
    <w:rsid w:val="001772BE"/>
    <w:rsid w:val="001839E2"/>
    <w:rsid w:val="00187987"/>
    <w:rsid w:val="00190649"/>
    <w:rsid w:val="001A1DA6"/>
    <w:rsid w:val="001B0B25"/>
    <w:rsid w:val="001B66EA"/>
    <w:rsid w:val="001B75EA"/>
    <w:rsid w:val="001C2F28"/>
    <w:rsid w:val="001E4704"/>
    <w:rsid w:val="001E602F"/>
    <w:rsid w:val="002047C4"/>
    <w:rsid w:val="002077DB"/>
    <w:rsid w:val="00210AF9"/>
    <w:rsid w:val="00216C80"/>
    <w:rsid w:val="002222E8"/>
    <w:rsid w:val="00223F73"/>
    <w:rsid w:val="00225BE8"/>
    <w:rsid w:val="0022648C"/>
    <w:rsid w:val="002279C1"/>
    <w:rsid w:val="00237D57"/>
    <w:rsid w:val="0025392D"/>
    <w:rsid w:val="00271978"/>
    <w:rsid w:val="0029095E"/>
    <w:rsid w:val="00295A64"/>
    <w:rsid w:val="00297C37"/>
    <w:rsid w:val="002A63F5"/>
    <w:rsid w:val="002D1485"/>
    <w:rsid w:val="002D7437"/>
    <w:rsid w:val="002E186A"/>
    <w:rsid w:val="002F062D"/>
    <w:rsid w:val="00327A60"/>
    <w:rsid w:val="00334AEF"/>
    <w:rsid w:val="0034088D"/>
    <w:rsid w:val="00342FA7"/>
    <w:rsid w:val="00346263"/>
    <w:rsid w:val="00351F1E"/>
    <w:rsid w:val="00366E02"/>
    <w:rsid w:val="00393092"/>
    <w:rsid w:val="003B1E41"/>
    <w:rsid w:val="003B59BA"/>
    <w:rsid w:val="003B5D40"/>
    <w:rsid w:val="003C1623"/>
    <w:rsid w:val="003C45D8"/>
    <w:rsid w:val="003E35B4"/>
    <w:rsid w:val="003F0D9D"/>
    <w:rsid w:val="003F4F60"/>
    <w:rsid w:val="003F6366"/>
    <w:rsid w:val="00404589"/>
    <w:rsid w:val="00417DA2"/>
    <w:rsid w:val="0042090E"/>
    <w:rsid w:val="00436C6E"/>
    <w:rsid w:val="00441F3B"/>
    <w:rsid w:val="00453AC8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E005B"/>
    <w:rsid w:val="00501850"/>
    <w:rsid w:val="00506BCF"/>
    <w:rsid w:val="0050748A"/>
    <w:rsid w:val="00525FE6"/>
    <w:rsid w:val="005265C0"/>
    <w:rsid w:val="00554059"/>
    <w:rsid w:val="005818EB"/>
    <w:rsid w:val="005828E9"/>
    <w:rsid w:val="0058708E"/>
    <w:rsid w:val="005B48EA"/>
    <w:rsid w:val="005C3CFB"/>
    <w:rsid w:val="005C558D"/>
    <w:rsid w:val="005D2F14"/>
    <w:rsid w:val="005E22C0"/>
    <w:rsid w:val="005E6E5C"/>
    <w:rsid w:val="00615726"/>
    <w:rsid w:val="00623682"/>
    <w:rsid w:val="00643A9E"/>
    <w:rsid w:val="006504F3"/>
    <w:rsid w:val="00674522"/>
    <w:rsid w:val="00677FB5"/>
    <w:rsid w:val="00693954"/>
    <w:rsid w:val="006A22F0"/>
    <w:rsid w:val="006A759A"/>
    <w:rsid w:val="006B1749"/>
    <w:rsid w:val="006B4977"/>
    <w:rsid w:val="006C2169"/>
    <w:rsid w:val="006E0F75"/>
    <w:rsid w:val="007009CB"/>
    <w:rsid w:val="007071A9"/>
    <w:rsid w:val="00724E1E"/>
    <w:rsid w:val="00731878"/>
    <w:rsid w:val="00752F3E"/>
    <w:rsid w:val="0078148B"/>
    <w:rsid w:val="007865FC"/>
    <w:rsid w:val="007C1833"/>
    <w:rsid w:val="007C47B6"/>
    <w:rsid w:val="007E53E2"/>
    <w:rsid w:val="00802C43"/>
    <w:rsid w:val="00815793"/>
    <w:rsid w:val="008165CE"/>
    <w:rsid w:val="00820142"/>
    <w:rsid w:val="008249A7"/>
    <w:rsid w:val="0083185A"/>
    <w:rsid w:val="008370D7"/>
    <w:rsid w:val="00863B8D"/>
    <w:rsid w:val="0086561D"/>
    <w:rsid w:val="00865AD1"/>
    <w:rsid w:val="00892771"/>
    <w:rsid w:val="0089354C"/>
    <w:rsid w:val="00894054"/>
    <w:rsid w:val="008942B6"/>
    <w:rsid w:val="00895855"/>
    <w:rsid w:val="00895E82"/>
    <w:rsid w:val="008970ED"/>
    <w:rsid w:val="008B2B79"/>
    <w:rsid w:val="008D1438"/>
    <w:rsid w:val="008F7D4D"/>
    <w:rsid w:val="00900428"/>
    <w:rsid w:val="009051D2"/>
    <w:rsid w:val="00906F6C"/>
    <w:rsid w:val="00914189"/>
    <w:rsid w:val="009279F3"/>
    <w:rsid w:val="009458FA"/>
    <w:rsid w:val="00956D7A"/>
    <w:rsid w:val="009640B0"/>
    <w:rsid w:val="00964D07"/>
    <w:rsid w:val="009773D2"/>
    <w:rsid w:val="00984E7C"/>
    <w:rsid w:val="00996224"/>
    <w:rsid w:val="00997C42"/>
    <w:rsid w:val="009A0601"/>
    <w:rsid w:val="009A593A"/>
    <w:rsid w:val="009D455C"/>
    <w:rsid w:val="009E659B"/>
    <w:rsid w:val="009F3AE6"/>
    <w:rsid w:val="009F3F3D"/>
    <w:rsid w:val="00A0223A"/>
    <w:rsid w:val="00A17E5B"/>
    <w:rsid w:val="00A313C2"/>
    <w:rsid w:val="00A34C3C"/>
    <w:rsid w:val="00A35575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F1A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4D83"/>
    <w:rsid w:val="00B06688"/>
    <w:rsid w:val="00B070F0"/>
    <w:rsid w:val="00B13501"/>
    <w:rsid w:val="00B13BE8"/>
    <w:rsid w:val="00B16A3A"/>
    <w:rsid w:val="00B209A8"/>
    <w:rsid w:val="00B33E69"/>
    <w:rsid w:val="00B52591"/>
    <w:rsid w:val="00B544FB"/>
    <w:rsid w:val="00B546A2"/>
    <w:rsid w:val="00B60E5E"/>
    <w:rsid w:val="00B6339E"/>
    <w:rsid w:val="00B6365E"/>
    <w:rsid w:val="00B639B0"/>
    <w:rsid w:val="00B7183D"/>
    <w:rsid w:val="00B748A5"/>
    <w:rsid w:val="00B935B5"/>
    <w:rsid w:val="00B953A3"/>
    <w:rsid w:val="00B95AB9"/>
    <w:rsid w:val="00B964EC"/>
    <w:rsid w:val="00BA0D6A"/>
    <w:rsid w:val="00BA110E"/>
    <w:rsid w:val="00BA77F2"/>
    <w:rsid w:val="00BB0610"/>
    <w:rsid w:val="00BB5081"/>
    <w:rsid w:val="00BD15FE"/>
    <w:rsid w:val="00BE3ECC"/>
    <w:rsid w:val="00BF15E1"/>
    <w:rsid w:val="00C00025"/>
    <w:rsid w:val="00C14A2D"/>
    <w:rsid w:val="00C15438"/>
    <w:rsid w:val="00C2016F"/>
    <w:rsid w:val="00C258EC"/>
    <w:rsid w:val="00C27E37"/>
    <w:rsid w:val="00C30749"/>
    <w:rsid w:val="00C407E4"/>
    <w:rsid w:val="00C40CD0"/>
    <w:rsid w:val="00C41EBD"/>
    <w:rsid w:val="00C82F5E"/>
    <w:rsid w:val="00C90464"/>
    <w:rsid w:val="00C90CAD"/>
    <w:rsid w:val="00C97333"/>
    <w:rsid w:val="00CA47C6"/>
    <w:rsid w:val="00CB14F8"/>
    <w:rsid w:val="00D04AF6"/>
    <w:rsid w:val="00D1796F"/>
    <w:rsid w:val="00D3715F"/>
    <w:rsid w:val="00D545BB"/>
    <w:rsid w:val="00D54E8A"/>
    <w:rsid w:val="00D56F81"/>
    <w:rsid w:val="00D72050"/>
    <w:rsid w:val="00D74742"/>
    <w:rsid w:val="00DA3D9A"/>
    <w:rsid w:val="00DB11A9"/>
    <w:rsid w:val="00DB27D2"/>
    <w:rsid w:val="00DD0107"/>
    <w:rsid w:val="00DD1873"/>
    <w:rsid w:val="00DD495A"/>
    <w:rsid w:val="00DE4BBA"/>
    <w:rsid w:val="00DE78DD"/>
    <w:rsid w:val="00DF63B7"/>
    <w:rsid w:val="00E11038"/>
    <w:rsid w:val="00E117C6"/>
    <w:rsid w:val="00E17BEE"/>
    <w:rsid w:val="00E37170"/>
    <w:rsid w:val="00E409C4"/>
    <w:rsid w:val="00E45DE6"/>
    <w:rsid w:val="00E47B34"/>
    <w:rsid w:val="00E6278D"/>
    <w:rsid w:val="00E669CE"/>
    <w:rsid w:val="00E71DF3"/>
    <w:rsid w:val="00E72EFD"/>
    <w:rsid w:val="00E7731F"/>
    <w:rsid w:val="00E81E4D"/>
    <w:rsid w:val="00E83C36"/>
    <w:rsid w:val="00E946B4"/>
    <w:rsid w:val="00EB68C2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53E18"/>
    <w:rsid w:val="00F72058"/>
    <w:rsid w:val="00F95794"/>
    <w:rsid w:val="00FA2E68"/>
    <w:rsid w:val="00FA510A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E25F-703E-4116-A4BF-42841F27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9</cp:revision>
  <cp:lastPrinted>2018-07-30T21:05:00Z</cp:lastPrinted>
  <dcterms:created xsi:type="dcterms:W3CDTF">2020-09-11T13:59:00Z</dcterms:created>
  <dcterms:modified xsi:type="dcterms:W3CDTF">2020-09-13T14:19:00Z</dcterms:modified>
</cp:coreProperties>
</file>